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257A" w14:textId="130D3551" w:rsidR="00194CA8" w:rsidRPr="00260280" w:rsidRDefault="00194CA8" w:rsidP="00260280">
      <w:pPr>
        <w:jc w:val="center"/>
        <w:rPr>
          <w:rFonts w:ascii="Century Gothic" w:hAnsi="Century Gothic" w:cs="Arial"/>
          <w:b/>
          <w:bCs/>
        </w:rPr>
      </w:pPr>
      <w:r w:rsidRPr="00260280">
        <w:rPr>
          <w:rFonts w:ascii="Century Gothic" w:hAnsi="Century Gothic" w:cs="Arial"/>
          <w:b/>
          <w:bCs/>
        </w:rPr>
        <w:t xml:space="preserve">MODELE DE TRAME DE RAPPORT SUR LA </w:t>
      </w:r>
      <w:r w:rsidRPr="00260280">
        <w:rPr>
          <w:rFonts w:ascii="Century Gothic" w:hAnsi="Century Gothic" w:cs="Arial"/>
          <w:b/>
          <w:bCs/>
        </w:rPr>
        <w:t>PROTECTION SOCIALE COMPLEMENTAIRE</w:t>
      </w:r>
    </w:p>
    <w:p w14:paraId="401AA263" w14:textId="1120BE92" w:rsidR="0083728A" w:rsidRDefault="00194CA8" w:rsidP="00260280">
      <w:pPr>
        <w:jc w:val="center"/>
        <w:rPr>
          <w:rFonts w:ascii="Century Gothic" w:hAnsi="Century Gothic" w:cs="Arial"/>
          <w:b/>
          <w:bCs/>
        </w:rPr>
      </w:pPr>
      <w:r w:rsidRPr="00260280">
        <w:rPr>
          <w:rFonts w:ascii="Century Gothic" w:hAnsi="Century Gothic" w:cs="Arial"/>
          <w:b/>
          <w:bCs/>
        </w:rPr>
        <w:t>ORGANISATION D’UN DEBAT DEVANT L’ASSEMBLEE DELIBERANTE</w:t>
      </w:r>
      <w:r w:rsidR="0083261F">
        <w:rPr>
          <w:rFonts w:ascii="Century Gothic" w:hAnsi="Century Gothic" w:cs="Arial"/>
          <w:b/>
          <w:bCs/>
        </w:rPr>
        <w:t xml:space="preserve"> (Version juin 2026)</w:t>
      </w:r>
    </w:p>
    <w:p w14:paraId="64D791D0" w14:textId="77777777" w:rsidR="00260280" w:rsidRDefault="00260280" w:rsidP="00260280">
      <w:pPr>
        <w:jc w:val="center"/>
        <w:rPr>
          <w:rFonts w:ascii="Century Gothic" w:hAnsi="Century Gothic" w:cs="Arial"/>
          <w:b/>
          <w:bCs/>
        </w:rPr>
      </w:pPr>
    </w:p>
    <w:p w14:paraId="1FB9E3DB" w14:textId="35B295EC" w:rsidR="00005A35" w:rsidRPr="00AA1D81" w:rsidRDefault="00005A35" w:rsidP="00005A35">
      <w:pPr>
        <w:jc w:val="both"/>
        <w:rPr>
          <w:rFonts w:ascii="Century Gothic" w:hAnsi="Century Gothic" w:cs="Arial"/>
          <w:i/>
          <w:iCs/>
        </w:rPr>
      </w:pPr>
      <w:r w:rsidRPr="00AA1D81">
        <w:rPr>
          <w:rFonts w:ascii="Century Gothic" w:hAnsi="Century Gothic" w:cs="Arial"/>
          <w:i/>
          <w:iCs/>
        </w:rPr>
        <w:t>En application de l’article 4 III de l’ordonnance n°2021-175 du 17 février 2021 relative à la protection sociale complémentaire dans la fonction publique, les assemblées délibérantes des collectivités territoriales et de leurs établissements publics organisent un débat portant sur les garanties accordées aux agents en matière de protection sociale complémentaire dans un délai d'un an à compter de la publication de la présente ordonnance</w:t>
      </w:r>
      <w:r w:rsidR="00312D5C" w:rsidRPr="00AA1D81">
        <w:rPr>
          <w:rFonts w:ascii="Century Gothic" w:hAnsi="Century Gothic" w:cs="Arial"/>
          <w:i/>
          <w:iCs/>
        </w:rPr>
        <w:t>.</w:t>
      </w:r>
    </w:p>
    <w:p w14:paraId="39671BA8" w14:textId="09FFCDF3" w:rsidR="00005A35" w:rsidRPr="00AA1D81" w:rsidRDefault="002F756D" w:rsidP="00005A35">
      <w:pPr>
        <w:jc w:val="both"/>
        <w:rPr>
          <w:rFonts w:ascii="Century Gothic" w:hAnsi="Century Gothic" w:cs="Arial"/>
          <w:i/>
          <w:iCs/>
        </w:rPr>
      </w:pPr>
      <w:r w:rsidRPr="00AA1D81">
        <w:rPr>
          <w:rFonts w:ascii="Century Gothic" w:hAnsi="Century Gothic" w:cs="Arial"/>
          <w:b/>
          <w:bCs/>
          <w:i/>
          <w:iCs/>
        </w:rPr>
        <w:t>Ce</w:t>
      </w:r>
      <w:r w:rsidR="00005A35" w:rsidRPr="00AA1D81">
        <w:rPr>
          <w:rFonts w:ascii="Century Gothic" w:hAnsi="Century Gothic" w:cs="Arial"/>
          <w:b/>
          <w:bCs/>
          <w:i/>
          <w:iCs/>
        </w:rPr>
        <w:t xml:space="preserve"> débat devra avoir lieu dans un délai de six mois suivant le renouvellement général des assemblées délibérantes des collectivités territoriales et de leurs établissements publics</w:t>
      </w:r>
      <w:r w:rsidR="00312D5C" w:rsidRPr="00AA1D81">
        <w:rPr>
          <w:rFonts w:ascii="Century Gothic" w:hAnsi="Century Gothic" w:cs="Arial"/>
          <w:b/>
          <w:bCs/>
          <w:i/>
          <w:iCs/>
        </w:rPr>
        <w:t>.</w:t>
      </w:r>
      <w:r w:rsidR="00005A35" w:rsidRPr="00AA1D81">
        <w:rPr>
          <w:rFonts w:ascii="Century Gothic" w:hAnsi="Century Gothic" w:cs="Arial"/>
          <w:i/>
          <w:iCs/>
        </w:rPr>
        <w:t xml:space="preserve"> </w:t>
      </w:r>
    </w:p>
    <w:p w14:paraId="439CC05E" w14:textId="7346D2F3" w:rsidR="00005A35" w:rsidRPr="00AA1D81" w:rsidRDefault="00005A35" w:rsidP="00005A35">
      <w:pPr>
        <w:jc w:val="both"/>
        <w:rPr>
          <w:rFonts w:ascii="Century Gothic" w:hAnsi="Century Gothic" w:cs="Arial"/>
          <w:i/>
          <w:iCs/>
        </w:rPr>
      </w:pPr>
      <w:r w:rsidRPr="00AA1D81">
        <w:rPr>
          <w:rFonts w:ascii="Century Gothic" w:hAnsi="Century Gothic" w:cs="Arial"/>
          <w:i/>
          <w:iCs/>
        </w:rPr>
        <w:t>Ce débat a pour objet de présenter les enjeux et le cadre de la protection sociale complémentaire</w:t>
      </w:r>
      <w:r w:rsidR="00CF14A8" w:rsidRPr="00AA1D81">
        <w:rPr>
          <w:rFonts w:ascii="Century Gothic" w:hAnsi="Century Gothic" w:cs="Arial"/>
          <w:i/>
          <w:iCs/>
        </w:rPr>
        <w:t>.</w:t>
      </w:r>
    </w:p>
    <w:p w14:paraId="6F8CA2CC" w14:textId="77777777" w:rsidR="00005A35" w:rsidRPr="00AA1D81" w:rsidRDefault="00005A35" w:rsidP="00005A35">
      <w:pPr>
        <w:jc w:val="both"/>
        <w:rPr>
          <w:rFonts w:ascii="Century Gothic" w:hAnsi="Century Gothic" w:cs="Arial"/>
          <w:i/>
          <w:iCs/>
        </w:rPr>
      </w:pPr>
      <w:r w:rsidRPr="00AA1D81">
        <w:rPr>
          <w:rFonts w:ascii="Century Gothic" w:hAnsi="Century Gothic" w:cs="Arial"/>
          <w:i/>
          <w:iCs/>
        </w:rPr>
        <w:t xml:space="preserve">Le contenu du débat n’est pas déterminé par l’ordonnance n°2021-175 du 17 février 2021. </w:t>
      </w:r>
    </w:p>
    <w:p w14:paraId="08E04028" w14:textId="014E6559" w:rsidR="00260280" w:rsidRPr="00AA1D81" w:rsidRDefault="00005A35" w:rsidP="00005A35">
      <w:pPr>
        <w:jc w:val="both"/>
        <w:rPr>
          <w:rFonts w:ascii="Century Gothic" w:hAnsi="Century Gothic" w:cs="Arial"/>
          <w:i/>
          <w:iCs/>
        </w:rPr>
      </w:pPr>
      <w:r w:rsidRPr="00AA1D81">
        <w:rPr>
          <w:rFonts w:ascii="Century Gothic" w:hAnsi="Century Gothic" w:cs="Arial"/>
          <w:i/>
          <w:iCs/>
        </w:rPr>
        <w:t>Les employeurs publics territoriaux sont libres de définir le contenu du débat et de l’orienter autour des problématiques qui sont propres à leurs structures.</w:t>
      </w:r>
    </w:p>
    <w:p w14:paraId="0903E39E" w14:textId="77777777" w:rsidR="000E4DCB" w:rsidRPr="00AA1D81" w:rsidRDefault="000E4DCB" w:rsidP="000E4DCB">
      <w:pPr>
        <w:jc w:val="both"/>
        <w:rPr>
          <w:rFonts w:ascii="Century Gothic" w:hAnsi="Century Gothic" w:cs="Arial"/>
          <w:i/>
          <w:iCs/>
        </w:rPr>
      </w:pPr>
      <w:r w:rsidRPr="00AA1D81">
        <w:rPr>
          <w:rFonts w:ascii="Century Gothic" w:hAnsi="Century Gothic" w:cs="Arial"/>
          <w:i/>
          <w:iCs/>
        </w:rPr>
        <w:t>Il s’agit d’un débat sans vote, qui doit informer sur les enjeux, les objectifs et les moyens à déployer pour répondre à l’obligation de participation.</w:t>
      </w:r>
    </w:p>
    <w:p w14:paraId="4DAA4C5D" w14:textId="4E5B68BA" w:rsidR="00312D5C" w:rsidRPr="00AA1D81" w:rsidRDefault="000E4DCB" w:rsidP="000E4DCB">
      <w:pPr>
        <w:jc w:val="both"/>
        <w:rPr>
          <w:rFonts w:ascii="Century Gothic" w:hAnsi="Century Gothic" w:cs="Arial"/>
          <w:i/>
          <w:iCs/>
        </w:rPr>
      </w:pPr>
      <w:r w:rsidRPr="00AA1D81">
        <w:rPr>
          <w:rFonts w:ascii="Century Gothic" w:hAnsi="Century Gothic" w:cs="Arial"/>
          <w:i/>
          <w:iCs/>
        </w:rPr>
        <w:t>L’ordonnance ne prévoit pas de contenu. Chaque employeur public territorial est libre de le préparer selon son propre contexte.</w:t>
      </w:r>
    </w:p>
    <w:p w14:paraId="11036DD4" w14:textId="6C8BB8C9" w:rsidR="00050F42" w:rsidRPr="00CF14A8" w:rsidRDefault="00CF14A8" w:rsidP="000E4DCB">
      <w:pPr>
        <w:jc w:val="both"/>
        <w:rPr>
          <w:rFonts w:ascii="Century Gothic" w:hAnsi="Century Gothic" w:cs="Arial"/>
          <w:b/>
          <w:bCs/>
          <w:i/>
          <w:iCs/>
          <w:u w:val="single"/>
        </w:rPr>
      </w:pPr>
      <w:r w:rsidRPr="00CF14A8">
        <w:rPr>
          <w:rFonts w:ascii="Century Gothic" w:hAnsi="Century Gothic" w:cs="Arial"/>
          <w:b/>
          <w:bCs/>
          <w:i/>
          <w:iCs/>
          <w:u w:val="single"/>
        </w:rPr>
        <w:t>MODELE</w:t>
      </w:r>
    </w:p>
    <w:p w14:paraId="548AB3B0" w14:textId="284406DD" w:rsidR="00312D5C" w:rsidRDefault="004475B8" w:rsidP="00005A35">
      <w:pPr>
        <w:jc w:val="both"/>
        <w:rPr>
          <w:rFonts w:ascii="Century Gothic" w:hAnsi="Century Gothic" w:cs="Arial"/>
        </w:rPr>
      </w:pPr>
      <w:r w:rsidRPr="004475B8">
        <w:rPr>
          <w:rFonts w:ascii="Century Gothic" w:hAnsi="Century Gothic" w:cs="Arial"/>
        </w:rPr>
        <w:t>La loi n°2007-148 du 2 février 2007 de modernisation de la fonction publique ouvre la possibilité aux employeurs publics de participer financièrement aux garanties de protection sociale complémentaire souscrites par leurs agents.</w:t>
      </w:r>
    </w:p>
    <w:p w14:paraId="453CE1EF" w14:textId="77777777" w:rsidR="00A965DF" w:rsidRPr="00A965DF" w:rsidRDefault="00A965DF" w:rsidP="00A965DF">
      <w:pPr>
        <w:jc w:val="both"/>
        <w:rPr>
          <w:rFonts w:ascii="Century Gothic" w:hAnsi="Century Gothic" w:cs="Arial"/>
        </w:rPr>
      </w:pPr>
      <w:r w:rsidRPr="00A965DF">
        <w:rPr>
          <w:rFonts w:ascii="Century Gothic" w:hAnsi="Century Gothic" w:cs="Arial"/>
        </w:rPr>
        <w:t>Dans la fonction publique territoriale, cette participation financière est actée par le décret n°2011-1174 du 8 novembre 2011.</w:t>
      </w:r>
    </w:p>
    <w:p w14:paraId="4BB454C8" w14:textId="77777777" w:rsidR="00A965DF" w:rsidRPr="00A965DF" w:rsidRDefault="00A965DF" w:rsidP="00A965DF">
      <w:pPr>
        <w:jc w:val="both"/>
        <w:rPr>
          <w:rFonts w:ascii="Century Gothic" w:hAnsi="Century Gothic" w:cs="Arial"/>
        </w:rPr>
      </w:pPr>
      <w:r w:rsidRPr="00A965DF">
        <w:rPr>
          <w:rFonts w:ascii="Century Gothic" w:hAnsi="Century Gothic" w:cs="Arial"/>
        </w:rPr>
        <w:t xml:space="preserve">Le décret prévoit deux dispositifs de participation aux contrats des agents publics : </w:t>
      </w:r>
    </w:p>
    <w:p w14:paraId="138836E8" w14:textId="77777777" w:rsidR="00A965DF" w:rsidRPr="00A965DF" w:rsidRDefault="00A965DF" w:rsidP="00A965DF">
      <w:pPr>
        <w:jc w:val="both"/>
        <w:rPr>
          <w:rFonts w:ascii="Century Gothic" w:hAnsi="Century Gothic" w:cs="Arial"/>
        </w:rPr>
      </w:pPr>
      <w:r w:rsidRPr="00A965DF">
        <w:rPr>
          <w:rFonts w:ascii="Century Gothic" w:hAnsi="Century Gothic" w:cs="Arial"/>
        </w:rPr>
        <w:t>-</w:t>
      </w:r>
      <w:r w:rsidRPr="00A965DF">
        <w:rPr>
          <w:rFonts w:ascii="Century Gothic" w:hAnsi="Century Gothic" w:cs="Arial"/>
        </w:rPr>
        <w:tab/>
        <w:t xml:space="preserve">la labellisation : les contrats sont alors référencés par des organismes accrédités et souscrits individuellement par les agents. </w:t>
      </w:r>
    </w:p>
    <w:p w14:paraId="383E5580" w14:textId="77777777" w:rsidR="00A965DF" w:rsidRPr="00A965DF" w:rsidRDefault="00A965DF" w:rsidP="00A965DF">
      <w:pPr>
        <w:jc w:val="both"/>
        <w:rPr>
          <w:rFonts w:ascii="Century Gothic" w:hAnsi="Century Gothic" w:cs="Arial"/>
        </w:rPr>
      </w:pPr>
      <w:r w:rsidRPr="00A965DF">
        <w:rPr>
          <w:rFonts w:ascii="Century Gothic" w:hAnsi="Century Gothic" w:cs="Arial"/>
        </w:rPr>
        <w:t>-</w:t>
      </w:r>
      <w:r w:rsidRPr="00A965DF">
        <w:rPr>
          <w:rFonts w:ascii="Century Gothic" w:hAnsi="Century Gothic" w:cs="Arial"/>
        </w:rPr>
        <w:tab/>
        <w:t>la convention de participation, qui se traduit par une mise en concurrence effectuée par la collectivité (ou le Centre de Gestion si la collectivité lui a donné mandat) permettant de sélectionner une offre répondant aux besoins propres des agents et remplissant les conditions de solidarité prévues par la loi. L’offre de l’opérateur sélectionné sera proposée à l’adhésion individuelle et facultative des agents de la collectivité.</w:t>
      </w:r>
    </w:p>
    <w:p w14:paraId="4A62E90A" w14:textId="72320E10" w:rsidR="001E084D" w:rsidRDefault="00A965DF" w:rsidP="00A965DF">
      <w:pPr>
        <w:jc w:val="both"/>
        <w:rPr>
          <w:rFonts w:ascii="Century Gothic" w:hAnsi="Century Gothic" w:cs="Arial"/>
        </w:rPr>
      </w:pPr>
      <w:r w:rsidRPr="00A965DF">
        <w:rPr>
          <w:rFonts w:ascii="Century Gothic" w:hAnsi="Century Gothic" w:cs="Arial"/>
        </w:rPr>
        <w:t>Sont ainsi bénéficiaires de cette participation financière, les fonctionnaires titulaires et stagiaires, les agents contractuels de droit public ainsi que les agents contractuels de droit privé (contrats aidés, apprentis, etc.).</w:t>
      </w:r>
    </w:p>
    <w:p w14:paraId="0552756D" w14:textId="77777777" w:rsidR="001E084D" w:rsidRDefault="001E084D">
      <w:pPr>
        <w:rPr>
          <w:rFonts w:ascii="Century Gothic" w:hAnsi="Century Gothic" w:cs="Arial"/>
        </w:rPr>
      </w:pPr>
      <w:r>
        <w:rPr>
          <w:rFonts w:ascii="Century Gothic" w:hAnsi="Century Gothic" w:cs="Arial"/>
        </w:rPr>
        <w:br w:type="page"/>
      </w:r>
    </w:p>
    <w:p w14:paraId="78F1E02D" w14:textId="77777777" w:rsidR="00A965DF" w:rsidRDefault="00A965DF" w:rsidP="00A965DF">
      <w:pPr>
        <w:jc w:val="both"/>
        <w:rPr>
          <w:rFonts w:ascii="Century Gothic" w:hAnsi="Century Gothic" w:cs="Arial"/>
        </w:rPr>
      </w:pPr>
    </w:p>
    <w:p w14:paraId="01EF8568" w14:textId="77777777" w:rsidR="00A04BC4" w:rsidRPr="00A04BC4" w:rsidRDefault="00A04BC4" w:rsidP="00A04BC4">
      <w:pPr>
        <w:jc w:val="both"/>
        <w:rPr>
          <w:rFonts w:ascii="Century Gothic" w:hAnsi="Century Gothic" w:cs="Arial"/>
          <w:b/>
          <w:bCs/>
        </w:rPr>
      </w:pPr>
      <w:r w:rsidRPr="00A04BC4">
        <w:rPr>
          <w:rFonts w:ascii="Century Gothic" w:hAnsi="Century Gothic" w:cs="Arial"/>
          <w:b/>
          <w:bCs/>
        </w:rPr>
        <w:t>La PSC au cœur de la politique RH</w:t>
      </w:r>
    </w:p>
    <w:p w14:paraId="5CDD9709" w14:textId="77777777" w:rsidR="00A04BC4" w:rsidRPr="00A04BC4" w:rsidRDefault="00A04BC4" w:rsidP="00A04BC4">
      <w:pPr>
        <w:jc w:val="both"/>
        <w:rPr>
          <w:rFonts w:ascii="Century Gothic" w:hAnsi="Century Gothic" w:cs="Arial"/>
        </w:rPr>
      </w:pPr>
      <w:r w:rsidRPr="00A04BC4">
        <w:rPr>
          <w:rFonts w:ascii="Century Gothic" w:hAnsi="Century Gothic" w:cs="Arial"/>
        </w:rPr>
        <w:t>S’engager en faveur de la protection sociale complémentaire est important, tant pour la collectivité que pour les agents.</w:t>
      </w:r>
    </w:p>
    <w:p w14:paraId="3BF80D36" w14:textId="77777777" w:rsidR="00A04BC4" w:rsidRPr="00A04BC4" w:rsidRDefault="00A04BC4" w:rsidP="00A04BC4">
      <w:pPr>
        <w:jc w:val="both"/>
        <w:rPr>
          <w:rFonts w:ascii="Century Gothic" w:hAnsi="Century Gothic" w:cs="Arial"/>
        </w:rPr>
      </w:pPr>
      <w:r w:rsidRPr="00A04BC4">
        <w:rPr>
          <w:rFonts w:ascii="Century Gothic" w:hAnsi="Century Gothic" w:cs="Arial"/>
        </w:rPr>
        <w:t>La participation à la protection sociale complémentaire est un outil d’attractivité et de fidélisation des agents territoriaux mais aussi un engagement collectif de santé publique.</w:t>
      </w:r>
    </w:p>
    <w:p w14:paraId="361FB266" w14:textId="77777777" w:rsidR="00A04BC4" w:rsidRPr="00A04BC4" w:rsidRDefault="00A04BC4" w:rsidP="00A04BC4">
      <w:pPr>
        <w:jc w:val="both"/>
        <w:rPr>
          <w:rFonts w:ascii="Century Gothic" w:hAnsi="Century Gothic" w:cs="Arial"/>
        </w:rPr>
      </w:pPr>
      <w:r w:rsidRPr="00A04BC4">
        <w:rPr>
          <w:rFonts w:ascii="Century Gothic" w:hAnsi="Century Gothic" w:cs="Arial"/>
        </w:rPr>
        <w:t>Les enjeux pour la collectivité peuvent être ainsi présentés :</w:t>
      </w:r>
    </w:p>
    <w:p w14:paraId="790BCE77" w14:textId="77777777" w:rsidR="00A04BC4" w:rsidRP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 xml:space="preserve">Participer à l’attractivité de la collectivité et favoriser les recrutements </w:t>
      </w:r>
    </w:p>
    <w:p w14:paraId="54FC9C25" w14:textId="77777777" w:rsidR="00A04BC4" w:rsidRP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Améliorer les conditions de travail et prendre en considération les risques professionnels.</w:t>
      </w:r>
    </w:p>
    <w:p w14:paraId="79FF2D73" w14:textId="77777777" w:rsidR="00A04BC4" w:rsidRP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 xml:space="preserve">Réduire l’absentéisme afin de limiter les coûts directs (assurance statutaire, remplacements) et indirects (perte de qualité du service, surcharge de travail pour les agents en poste…) </w:t>
      </w:r>
    </w:p>
    <w:p w14:paraId="4D7F9833" w14:textId="77777777" w:rsidR="00A04BC4" w:rsidRP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Fidéliser les agents</w:t>
      </w:r>
    </w:p>
    <w:p w14:paraId="32FECD72" w14:textId="77777777" w:rsidR="00A04BC4" w:rsidRPr="00A04BC4" w:rsidRDefault="00A04BC4" w:rsidP="00A04BC4">
      <w:pPr>
        <w:jc w:val="both"/>
        <w:rPr>
          <w:rFonts w:ascii="Century Gothic" w:hAnsi="Century Gothic" w:cs="Arial"/>
        </w:rPr>
      </w:pPr>
      <w:r w:rsidRPr="00A04BC4">
        <w:rPr>
          <w:rFonts w:ascii="Century Gothic" w:hAnsi="Century Gothic" w:cs="Arial"/>
        </w:rPr>
        <w:t>S’engager c’est proposer aux agents :</w:t>
      </w:r>
    </w:p>
    <w:p w14:paraId="741C5DFC" w14:textId="77777777" w:rsidR="00A04BC4" w:rsidRP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Une prise en compte adaptée de leur santé</w:t>
      </w:r>
    </w:p>
    <w:p w14:paraId="7F4E8900" w14:textId="77777777" w:rsidR="00A04BC4" w:rsidRP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 xml:space="preserve">Une amélioration de leur pouvoir d’achat </w:t>
      </w:r>
    </w:p>
    <w:p w14:paraId="101AC294" w14:textId="02EAB9F8" w:rsidR="00A04BC4" w:rsidRDefault="00A04BC4" w:rsidP="00A04BC4">
      <w:pPr>
        <w:jc w:val="both"/>
        <w:rPr>
          <w:rFonts w:ascii="Century Gothic" w:hAnsi="Century Gothic" w:cs="Arial"/>
        </w:rPr>
      </w:pPr>
      <w:r w:rsidRPr="00A04BC4">
        <w:rPr>
          <w:rFonts w:ascii="Century Gothic" w:hAnsi="Century Gothic" w:cs="Arial"/>
        </w:rPr>
        <w:t>-</w:t>
      </w:r>
      <w:r w:rsidRPr="00A04BC4">
        <w:rPr>
          <w:rFonts w:ascii="Century Gothic" w:hAnsi="Century Gothic" w:cs="Arial"/>
        </w:rPr>
        <w:tab/>
        <w:t>Un élément de reconnaissance pouvant contribuer à renforcer l’engagement dans le travail et le sentiment d’appartenance à la collectivité</w:t>
      </w:r>
    </w:p>
    <w:p w14:paraId="4A9A63C2" w14:textId="0A4BA05D" w:rsidR="005B1540" w:rsidRDefault="002F756D" w:rsidP="005B1540">
      <w:pPr>
        <w:jc w:val="both"/>
        <w:rPr>
          <w:rFonts w:ascii="Century Gothic" w:hAnsi="Century Gothic" w:cs="Arial"/>
        </w:rPr>
      </w:pPr>
      <w:r>
        <w:rPr>
          <w:rFonts w:ascii="Century Gothic" w:hAnsi="Century Gothic" w:cs="Arial"/>
        </w:rPr>
        <w:t>L’</w:t>
      </w:r>
      <w:r w:rsidR="005B1540" w:rsidRPr="005B1540">
        <w:rPr>
          <w:rFonts w:ascii="Century Gothic" w:hAnsi="Century Gothic" w:cs="Arial"/>
        </w:rPr>
        <w:t xml:space="preserve">ordonnance n°2021-175 du 17 février 2021 relative à la protection sociale complémentaire dans la fonction publique </w:t>
      </w:r>
      <w:r w:rsidR="006E37AE">
        <w:rPr>
          <w:rFonts w:ascii="Century Gothic" w:hAnsi="Century Gothic" w:cs="Arial"/>
        </w:rPr>
        <w:t>et le</w:t>
      </w:r>
      <w:r w:rsidR="005B1540" w:rsidRPr="005B1540">
        <w:rPr>
          <w:rFonts w:ascii="Century Gothic" w:hAnsi="Century Gothic" w:cs="Arial"/>
        </w:rPr>
        <w:t>s décrets d’application</w:t>
      </w:r>
      <w:r w:rsidR="006E37AE">
        <w:rPr>
          <w:rFonts w:ascii="Century Gothic" w:hAnsi="Century Gothic" w:cs="Arial"/>
        </w:rPr>
        <w:t xml:space="preserve"> publiés à ce jour</w:t>
      </w:r>
      <w:r w:rsidR="007A3B27">
        <w:rPr>
          <w:rFonts w:ascii="Century Gothic" w:hAnsi="Century Gothic" w:cs="Arial"/>
        </w:rPr>
        <w:t>,</w:t>
      </w:r>
      <w:r w:rsidR="005B1540" w:rsidRPr="005B1540">
        <w:rPr>
          <w:rFonts w:ascii="Century Gothic" w:hAnsi="Century Gothic" w:cs="Arial"/>
        </w:rPr>
        <w:t xml:space="preserve"> prévoi</w:t>
      </w:r>
      <w:r w:rsidR="006E37AE">
        <w:rPr>
          <w:rFonts w:ascii="Century Gothic" w:hAnsi="Century Gothic" w:cs="Arial"/>
        </w:rPr>
        <w:t>ent</w:t>
      </w:r>
      <w:r w:rsidR="005B1540" w:rsidRPr="005B1540">
        <w:rPr>
          <w:rFonts w:ascii="Century Gothic" w:hAnsi="Century Gothic" w:cs="Arial"/>
        </w:rPr>
        <w:t xml:space="preserve"> l’obligation pour les employeurs de participer financièrement :</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800"/>
        <w:gridCol w:w="3638"/>
      </w:tblGrid>
      <w:tr w:rsidR="00B22F69" w:rsidRPr="00082D88" w14:paraId="78572BD6" w14:textId="77777777" w:rsidTr="00B22F69">
        <w:trPr>
          <w:jc w:val="center"/>
        </w:trPr>
        <w:tc>
          <w:tcPr>
            <w:tcW w:w="2200" w:type="dxa"/>
            <w:tcBorders>
              <w:top w:val="single" w:sz="2" w:space="0" w:color="BBBBBB"/>
              <w:left w:val="single" w:sz="2" w:space="0" w:color="BBBBBB"/>
              <w:bottom w:val="single" w:sz="2" w:space="0" w:color="BBBBBB"/>
              <w:right w:val="single" w:sz="2" w:space="0" w:color="BBBBBB"/>
            </w:tcBorders>
            <w:shd w:val="clear" w:color="auto" w:fill="A3DBFF"/>
            <w:tcMar>
              <w:top w:w="80" w:type="dxa"/>
              <w:left w:w="120" w:type="dxa"/>
              <w:bottom w:w="80" w:type="dxa"/>
              <w:right w:w="120" w:type="dxa"/>
            </w:tcMar>
            <w:hideMark/>
          </w:tcPr>
          <w:p w14:paraId="0F20749E" w14:textId="77777777" w:rsidR="00B22F69" w:rsidRPr="009B052A" w:rsidRDefault="00B22F69" w:rsidP="00B22F69">
            <w:pPr>
              <w:pStyle w:val="infostexte"/>
              <w:jc w:val="center"/>
              <w:rPr>
                <w:rFonts w:ascii="Century Gothic" w:hAnsi="Century Gothic" w:cs="Calibri"/>
                <w:sz w:val="22"/>
              </w:rPr>
            </w:pPr>
            <w:r w:rsidRPr="009B052A">
              <w:rPr>
                <w:rFonts w:ascii="Century Gothic" w:hAnsi="Century Gothic" w:cs="Calibri"/>
                <w:b/>
                <w:bCs/>
                <w:sz w:val="22"/>
              </w:rPr>
              <w:t>Échéance</w:t>
            </w:r>
          </w:p>
        </w:tc>
        <w:tc>
          <w:tcPr>
            <w:tcW w:w="3800" w:type="dxa"/>
            <w:tcBorders>
              <w:top w:val="single" w:sz="2" w:space="0" w:color="BBBBBB"/>
              <w:left w:val="single" w:sz="2" w:space="0" w:color="BBBBBB"/>
              <w:bottom w:val="single" w:sz="2" w:space="0" w:color="BBBBBB"/>
              <w:right w:val="single" w:sz="2" w:space="0" w:color="BBBBBB"/>
            </w:tcBorders>
            <w:shd w:val="clear" w:color="auto" w:fill="A3DBFF"/>
            <w:tcMar>
              <w:top w:w="80" w:type="dxa"/>
              <w:left w:w="120" w:type="dxa"/>
              <w:bottom w:w="80" w:type="dxa"/>
              <w:right w:w="120" w:type="dxa"/>
            </w:tcMar>
            <w:hideMark/>
          </w:tcPr>
          <w:p w14:paraId="6B267A88" w14:textId="77777777" w:rsidR="00B22F69" w:rsidRPr="009B052A" w:rsidRDefault="00B22F69" w:rsidP="00B22F69">
            <w:pPr>
              <w:pStyle w:val="infostexte"/>
              <w:jc w:val="center"/>
              <w:rPr>
                <w:rFonts w:ascii="Century Gothic" w:hAnsi="Century Gothic" w:cs="Calibri"/>
                <w:sz w:val="22"/>
              </w:rPr>
            </w:pPr>
            <w:r w:rsidRPr="009B052A">
              <w:rPr>
                <w:rFonts w:ascii="Century Gothic" w:hAnsi="Century Gothic" w:cs="Calibri"/>
                <w:b/>
                <w:bCs/>
                <w:sz w:val="22"/>
              </w:rPr>
              <w:t>Obligation</w:t>
            </w:r>
          </w:p>
        </w:tc>
        <w:tc>
          <w:tcPr>
            <w:tcW w:w="3638" w:type="dxa"/>
            <w:tcBorders>
              <w:top w:val="single" w:sz="2" w:space="0" w:color="BBBBBB"/>
              <w:left w:val="single" w:sz="2" w:space="0" w:color="BBBBBB"/>
              <w:bottom w:val="single" w:sz="2" w:space="0" w:color="BBBBBB"/>
              <w:right w:val="single" w:sz="2" w:space="0" w:color="BBBBBB"/>
            </w:tcBorders>
            <w:shd w:val="clear" w:color="auto" w:fill="A3DBFF"/>
            <w:tcMar>
              <w:top w:w="80" w:type="dxa"/>
              <w:left w:w="120" w:type="dxa"/>
              <w:bottom w:w="80" w:type="dxa"/>
              <w:right w:w="120" w:type="dxa"/>
            </w:tcMar>
            <w:hideMark/>
          </w:tcPr>
          <w:p w14:paraId="3E37A8E5" w14:textId="77777777" w:rsidR="00B22F69" w:rsidRPr="009B052A" w:rsidRDefault="00B22F69" w:rsidP="00B22F69">
            <w:pPr>
              <w:pStyle w:val="infostexte"/>
              <w:jc w:val="center"/>
              <w:rPr>
                <w:rFonts w:ascii="Century Gothic" w:hAnsi="Century Gothic" w:cs="Calibri"/>
                <w:sz w:val="22"/>
              </w:rPr>
            </w:pPr>
            <w:r w:rsidRPr="009B052A">
              <w:rPr>
                <w:rFonts w:ascii="Century Gothic" w:hAnsi="Century Gothic" w:cs="Calibri"/>
                <w:b/>
                <w:bCs/>
                <w:sz w:val="22"/>
              </w:rPr>
              <w:t>Montant minimal</w:t>
            </w:r>
          </w:p>
        </w:tc>
      </w:tr>
      <w:tr w:rsidR="00B22F69" w:rsidRPr="00082D88" w14:paraId="11DA2A3E" w14:textId="77777777" w:rsidTr="00B22F69">
        <w:trPr>
          <w:jc w:val="center"/>
        </w:trPr>
        <w:tc>
          <w:tcPr>
            <w:tcW w:w="2200"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433997FE"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b/>
                <w:bCs/>
                <w:sz w:val="22"/>
              </w:rPr>
              <w:t>1er janvier 2025</w:t>
            </w:r>
          </w:p>
        </w:tc>
        <w:tc>
          <w:tcPr>
            <w:tcW w:w="3800"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5C37DA6C" w14:textId="4B19F4C1" w:rsidR="00B22F69" w:rsidRPr="009B052A" w:rsidRDefault="00B22F69" w:rsidP="00AB6DE0">
            <w:pPr>
              <w:pStyle w:val="infostexte"/>
              <w:rPr>
                <w:rFonts w:ascii="Century Gothic" w:hAnsi="Century Gothic" w:cs="Calibri"/>
                <w:sz w:val="22"/>
              </w:rPr>
            </w:pPr>
            <w:r w:rsidRPr="009B052A">
              <w:rPr>
                <w:rFonts w:ascii="Century Gothic" w:hAnsi="Century Gothic" w:cs="Calibri"/>
                <w:sz w:val="22"/>
              </w:rPr>
              <w:t>Participation au contrat collectif « Prévoyance » à adhésion facultative ou au contrat individuel labellisé.</w:t>
            </w:r>
          </w:p>
        </w:tc>
        <w:tc>
          <w:tcPr>
            <w:tcW w:w="3638"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65C3567F"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sz w:val="22"/>
              </w:rPr>
              <w:t>7€ brut/mois/agent (décret n° 2022-581 du 20 avril 2022)</w:t>
            </w:r>
          </w:p>
        </w:tc>
      </w:tr>
      <w:tr w:rsidR="00B22F69" w:rsidRPr="00082D88" w14:paraId="5DB67D0A" w14:textId="77777777" w:rsidTr="00B22F69">
        <w:trPr>
          <w:jc w:val="center"/>
        </w:trPr>
        <w:tc>
          <w:tcPr>
            <w:tcW w:w="2200"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799359C5"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b/>
                <w:bCs/>
                <w:sz w:val="22"/>
              </w:rPr>
              <w:t>1er janvier 2026</w:t>
            </w:r>
          </w:p>
        </w:tc>
        <w:tc>
          <w:tcPr>
            <w:tcW w:w="3800"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6E9F0117" w14:textId="7998F5E7" w:rsidR="00B22F69" w:rsidRPr="009B052A" w:rsidRDefault="00B22F69" w:rsidP="00AB6DE0">
            <w:pPr>
              <w:pStyle w:val="infostexte"/>
              <w:rPr>
                <w:rFonts w:ascii="Century Gothic" w:hAnsi="Century Gothic" w:cs="Calibri"/>
                <w:sz w:val="22"/>
              </w:rPr>
            </w:pPr>
            <w:r w:rsidRPr="009B052A">
              <w:rPr>
                <w:rFonts w:ascii="Century Gothic" w:hAnsi="Century Gothic" w:cs="Calibri"/>
                <w:sz w:val="22"/>
              </w:rPr>
              <w:t>Participation au contrat collectif « Mutuelle Santé » à adhésion facultative ou au contrat individuel labellisé.</w:t>
            </w:r>
          </w:p>
        </w:tc>
        <w:tc>
          <w:tcPr>
            <w:tcW w:w="3638"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64F9C990"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sz w:val="22"/>
              </w:rPr>
              <w:t>15€ brut/mois/agent (décret n° 2022-581 du 20 avril 2022)</w:t>
            </w:r>
          </w:p>
        </w:tc>
      </w:tr>
      <w:tr w:rsidR="00B22F69" w:rsidRPr="00082D88" w14:paraId="15EC0F3F" w14:textId="77777777" w:rsidTr="00B22F69">
        <w:trPr>
          <w:jc w:val="center"/>
        </w:trPr>
        <w:tc>
          <w:tcPr>
            <w:tcW w:w="2200"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3CE7DFC5"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b/>
                <w:bCs/>
                <w:sz w:val="22"/>
              </w:rPr>
              <w:t>1</w:t>
            </w:r>
            <w:r w:rsidRPr="009B052A">
              <w:rPr>
                <w:rFonts w:ascii="Century Gothic" w:hAnsi="Century Gothic" w:cs="Calibri"/>
                <w:b/>
                <w:bCs/>
                <w:sz w:val="22"/>
                <w:vertAlign w:val="superscript"/>
              </w:rPr>
              <w:t>er</w:t>
            </w:r>
            <w:r w:rsidRPr="009B052A">
              <w:rPr>
                <w:rFonts w:ascii="Century Gothic" w:hAnsi="Century Gothic" w:cs="Calibri"/>
                <w:b/>
                <w:bCs/>
                <w:sz w:val="22"/>
              </w:rPr>
              <w:t xml:space="preserve"> janvier 2029 au plus tard*</w:t>
            </w:r>
          </w:p>
        </w:tc>
        <w:tc>
          <w:tcPr>
            <w:tcW w:w="3800"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26805B10"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sz w:val="22"/>
              </w:rPr>
              <w:t>Contrat collectif « Prévoyance » à adhésion obligatoire</w:t>
            </w:r>
          </w:p>
        </w:tc>
        <w:tc>
          <w:tcPr>
            <w:tcW w:w="3638" w:type="dxa"/>
            <w:tcBorders>
              <w:top w:val="single" w:sz="2" w:space="0" w:color="BBBBBB"/>
              <w:left w:val="single" w:sz="2" w:space="0" w:color="BBBBBB"/>
              <w:bottom w:val="single" w:sz="2" w:space="0" w:color="BBBBBB"/>
              <w:right w:val="single" w:sz="2" w:space="0" w:color="BBBBBB"/>
            </w:tcBorders>
            <w:tcMar>
              <w:top w:w="80" w:type="dxa"/>
              <w:left w:w="120" w:type="dxa"/>
              <w:bottom w:w="80" w:type="dxa"/>
              <w:right w:w="120" w:type="dxa"/>
            </w:tcMar>
            <w:hideMark/>
          </w:tcPr>
          <w:p w14:paraId="25324E21" w14:textId="77777777" w:rsidR="00B22F69" w:rsidRPr="009B052A" w:rsidRDefault="00B22F69" w:rsidP="007554B3">
            <w:pPr>
              <w:pStyle w:val="infostexte"/>
              <w:rPr>
                <w:rFonts w:ascii="Century Gothic" w:hAnsi="Century Gothic" w:cs="Calibri"/>
                <w:sz w:val="22"/>
              </w:rPr>
            </w:pPr>
            <w:r w:rsidRPr="009B052A">
              <w:rPr>
                <w:rFonts w:ascii="Century Gothic" w:hAnsi="Century Gothic" w:cs="Calibri"/>
                <w:sz w:val="22"/>
              </w:rPr>
              <w:t>50 % de la cotisation due par l’agent (loi n° 2025-1251 du 22 décembre 2025)</w:t>
            </w:r>
          </w:p>
        </w:tc>
      </w:tr>
    </w:tbl>
    <w:p w14:paraId="6F945D4E" w14:textId="77777777" w:rsidR="001D6301" w:rsidRDefault="001D6301" w:rsidP="0011422A">
      <w:pPr>
        <w:jc w:val="both"/>
        <w:rPr>
          <w:rFonts w:ascii="Century Gothic" w:hAnsi="Century Gothic" w:cs="Arial"/>
        </w:rPr>
      </w:pPr>
    </w:p>
    <w:p w14:paraId="2E8F8526" w14:textId="39F96B74" w:rsidR="0011422A" w:rsidRPr="0011422A" w:rsidRDefault="0011422A" w:rsidP="0011422A">
      <w:pPr>
        <w:jc w:val="both"/>
        <w:rPr>
          <w:rFonts w:ascii="Century Gothic" w:hAnsi="Century Gothic" w:cs="Arial"/>
          <w:i/>
          <w:iCs/>
        </w:rPr>
      </w:pPr>
      <w:r w:rsidRPr="0011422A">
        <w:rPr>
          <w:rFonts w:ascii="Century Gothic" w:hAnsi="Century Gothic" w:cs="Arial"/>
          <w:i/>
          <w:iCs/>
        </w:rPr>
        <w:t>Si une convention de participation</w:t>
      </w:r>
      <w:r w:rsidR="00770B3C">
        <w:rPr>
          <w:rFonts w:ascii="Century Gothic" w:hAnsi="Century Gothic" w:cs="Arial"/>
          <w:i/>
          <w:iCs/>
        </w:rPr>
        <w:t xml:space="preserve"> prévoyance</w:t>
      </w:r>
      <w:r w:rsidRPr="0011422A">
        <w:rPr>
          <w:rFonts w:ascii="Century Gothic" w:hAnsi="Century Gothic" w:cs="Arial"/>
          <w:i/>
          <w:iCs/>
        </w:rPr>
        <w:t xml:space="preserve"> est déjà en place, les nouvelles règles s’appliqueront à l’échéance de celle-ci, si elle est antérieure au 1er janvier 2029.</w:t>
      </w:r>
    </w:p>
    <w:p w14:paraId="6AA2C2C9" w14:textId="77777777" w:rsidR="007F4EEE" w:rsidRDefault="007F4EEE" w:rsidP="0011422A">
      <w:pPr>
        <w:jc w:val="both"/>
        <w:rPr>
          <w:rFonts w:ascii="Century Gothic" w:hAnsi="Century Gothic" w:cs="Arial"/>
        </w:rPr>
      </w:pPr>
    </w:p>
    <w:p w14:paraId="6D3F9BD2" w14:textId="499B6C9E" w:rsidR="0011422A" w:rsidRPr="0011422A" w:rsidRDefault="0011422A" w:rsidP="0011422A">
      <w:pPr>
        <w:jc w:val="both"/>
        <w:rPr>
          <w:rFonts w:ascii="Century Gothic" w:hAnsi="Century Gothic" w:cs="Arial"/>
        </w:rPr>
      </w:pPr>
      <w:r w:rsidRPr="0011422A">
        <w:rPr>
          <w:rFonts w:ascii="Century Gothic" w:hAnsi="Century Gothic" w:cs="Arial"/>
        </w:rPr>
        <w:t>Transposant l'accord collectif national du 11 juillet 2023, conclu entre la coordination des employeurs publics territoriaux et les organisations syndicales représentatives, la loi n° 2025-1251 du 22 décembre 2025 relative à la protection sociale complémentaire des agents publics territoriaux franchit une étape supplémentaire en généralisant les contrats collectifs à adhésion obligatoire en matière de prévoyance.</w:t>
      </w:r>
    </w:p>
    <w:p w14:paraId="75D8BA1F" w14:textId="77777777" w:rsidR="0011422A" w:rsidRPr="0011422A" w:rsidRDefault="0011422A" w:rsidP="0011422A">
      <w:pPr>
        <w:jc w:val="both"/>
        <w:rPr>
          <w:rFonts w:ascii="Century Gothic" w:hAnsi="Century Gothic" w:cs="Arial"/>
        </w:rPr>
      </w:pPr>
      <w:r w:rsidRPr="0011422A">
        <w:rPr>
          <w:rFonts w:ascii="Century Gothic" w:hAnsi="Century Gothic" w:cs="Arial"/>
        </w:rPr>
        <w:t>Concrètement, cette loi impose aux employeurs territoriaux de mettre en place, au plus tard au 1er janvier 2029, un contrat collectif à adhésion obligatoire couvrant les risques de prévoyance (incapacité temporaire de travail, invalidité, décès). Ce contrat devra respecter un socle de garanties minimales et prévoir une participation de l'employeur représentant 50 % de la cotisation individuelle de référence.</w:t>
      </w:r>
    </w:p>
    <w:p w14:paraId="452886A9" w14:textId="5ABBA1D8" w:rsidR="00B031ED" w:rsidRPr="005B1540" w:rsidRDefault="0011422A" w:rsidP="0011422A">
      <w:pPr>
        <w:jc w:val="both"/>
        <w:rPr>
          <w:rFonts w:ascii="Century Gothic" w:hAnsi="Century Gothic" w:cs="Arial"/>
        </w:rPr>
      </w:pPr>
      <w:r w:rsidRPr="0011422A">
        <w:rPr>
          <w:rFonts w:ascii="Century Gothic" w:hAnsi="Century Gothic" w:cs="Arial"/>
        </w:rPr>
        <w:t>S'agissant de la complémentaire santé, la loi maintient le principe d'une adhésion facultative tout en confirmant l'obligation de participation financière à hauteur de 15 €/mois/agent à compter du 1er janvier 2026. Un régime dérogatoire est prévu pour les agents qui se trouveraient en arrêt de travail à la date de mise en place du premier contrat collectif.</w:t>
      </w:r>
    </w:p>
    <w:p w14:paraId="40906EA5" w14:textId="70843A2A" w:rsidR="00954A46" w:rsidRDefault="001C6D2B" w:rsidP="001C6D2B">
      <w:pPr>
        <w:jc w:val="both"/>
        <w:rPr>
          <w:rFonts w:ascii="Century Gothic" w:hAnsi="Century Gothic" w:cs="Arial"/>
        </w:rPr>
      </w:pPr>
      <w:r w:rsidRPr="001C6D2B">
        <w:rPr>
          <w:rFonts w:ascii="Century Gothic" w:hAnsi="Century Gothic" w:cs="Arial"/>
        </w:rPr>
        <w:t xml:space="preserve">Les centres de gestion se </w:t>
      </w:r>
      <w:r w:rsidR="00E333E8">
        <w:rPr>
          <w:rFonts w:ascii="Century Gothic" w:hAnsi="Century Gothic" w:cs="Arial"/>
        </w:rPr>
        <w:t xml:space="preserve">sont </w:t>
      </w:r>
      <w:r w:rsidR="000947E1">
        <w:rPr>
          <w:rFonts w:ascii="Century Gothic" w:hAnsi="Century Gothic" w:cs="Arial"/>
        </w:rPr>
        <w:t>vu</w:t>
      </w:r>
      <w:r w:rsidRPr="001C6D2B">
        <w:rPr>
          <w:rFonts w:ascii="Century Gothic" w:hAnsi="Century Gothic" w:cs="Arial"/>
        </w:rPr>
        <w:t xml:space="preserve"> confier une compétence en matière de protection sociale complémentaire</w:t>
      </w:r>
      <w:r w:rsidR="004D64F9">
        <w:rPr>
          <w:rFonts w:ascii="Century Gothic" w:hAnsi="Century Gothic" w:cs="Arial"/>
        </w:rPr>
        <w:t>.</w:t>
      </w:r>
      <w:r w:rsidR="00403F3A">
        <w:rPr>
          <w:rFonts w:ascii="Century Gothic" w:hAnsi="Century Gothic" w:cs="Arial"/>
        </w:rPr>
        <w:t xml:space="preserve"> </w:t>
      </w:r>
      <w:r w:rsidRPr="001C6D2B">
        <w:rPr>
          <w:rFonts w:ascii="Century Gothic" w:hAnsi="Century Gothic" w:cs="Arial"/>
        </w:rPr>
        <w:t>Ils concluent, pour le compte des collectivités territoriales et de leurs établissements publics, des conventions de participation.</w:t>
      </w:r>
      <w:r w:rsidR="00557ADE">
        <w:rPr>
          <w:rFonts w:ascii="Century Gothic" w:hAnsi="Century Gothic" w:cs="Arial"/>
        </w:rPr>
        <w:t xml:space="preserve"> </w:t>
      </w:r>
      <w:r w:rsidR="00A4606F">
        <w:rPr>
          <w:rFonts w:ascii="Century Gothic" w:hAnsi="Century Gothic" w:cs="Arial"/>
        </w:rPr>
        <w:t xml:space="preserve"> </w:t>
      </w:r>
      <w:r w:rsidRPr="001C6D2B">
        <w:rPr>
          <w:rFonts w:ascii="Century Gothic" w:hAnsi="Century Gothic" w:cs="Arial"/>
        </w:rPr>
        <w:t>Les collectivités et établissements publics peuvent adhérer aux conventions de participation pour un ou plusieurs risques que ces conventions sont destinées à couvrir, après signature d’un accord avec le centre de gestion de leur ressort.</w:t>
      </w:r>
    </w:p>
    <w:p w14:paraId="568CE2BA" w14:textId="77777777" w:rsidR="000F5E65" w:rsidRPr="00AA1D81" w:rsidRDefault="000F5E65" w:rsidP="000F5E65">
      <w:pPr>
        <w:jc w:val="both"/>
        <w:rPr>
          <w:rFonts w:ascii="Century Gothic" w:hAnsi="Century Gothic" w:cs="Arial"/>
          <w:i/>
          <w:iCs/>
        </w:rPr>
      </w:pPr>
      <w:r w:rsidRPr="00AA1D81">
        <w:rPr>
          <w:rFonts w:ascii="Century Gothic" w:hAnsi="Century Gothic" w:cs="Arial"/>
          <w:i/>
          <w:iCs/>
        </w:rPr>
        <w:t>Au-delà de ces éléments, le débat au sein de l’assemblée délibérante pourra porter également sur des points spécifiques à la collectivité ou à l’établissement, notamment :</w:t>
      </w:r>
    </w:p>
    <w:p w14:paraId="1B760211" w14:textId="77777777" w:rsidR="000F5E65" w:rsidRPr="00AA1D81" w:rsidRDefault="000F5E65" w:rsidP="000F5E65">
      <w:pPr>
        <w:jc w:val="both"/>
        <w:rPr>
          <w:rFonts w:ascii="Century Gothic" w:hAnsi="Century Gothic" w:cs="Arial"/>
          <w:i/>
          <w:iCs/>
        </w:rPr>
      </w:pPr>
      <w:r w:rsidRPr="00AA1D81">
        <w:rPr>
          <w:rFonts w:ascii="Century Gothic" w:hAnsi="Century Gothic" w:cs="Arial"/>
          <w:i/>
          <w:iCs/>
        </w:rPr>
        <w:t>-</w:t>
      </w:r>
      <w:r w:rsidRPr="00AA1D81">
        <w:rPr>
          <w:rFonts w:ascii="Century Gothic" w:hAnsi="Century Gothic" w:cs="Arial"/>
          <w:i/>
          <w:iCs/>
        </w:rPr>
        <w:tab/>
        <w:t>un état des lieux des garanties actuellement proposées, type de contrat (individuel/labellisation, collectif/convention de participation), du nombre d’agents bénéficiaires et du montant de la participation financière actuelle ;</w:t>
      </w:r>
    </w:p>
    <w:p w14:paraId="03E2A273" w14:textId="77777777" w:rsidR="000A7FE7" w:rsidRPr="00AA1D81" w:rsidRDefault="000A7FE7" w:rsidP="000A7FE7">
      <w:pPr>
        <w:jc w:val="both"/>
        <w:rPr>
          <w:rFonts w:ascii="Century Gothic" w:hAnsi="Century Gothic" w:cs="Arial"/>
          <w:i/>
          <w:iCs/>
        </w:rPr>
      </w:pPr>
      <w:r w:rsidRPr="00AA1D81">
        <w:rPr>
          <w:rFonts w:ascii="Century Gothic" w:hAnsi="Century Gothic" w:cs="Arial"/>
          <w:i/>
          <w:iCs/>
        </w:rPr>
        <w:t>-</w:t>
      </w:r>
      <w:r w:rsidRPr="00AA1D81">
        <w:rPr>
          <w:rFonts w:ascii="Century Gothic" w:hAnsi="Century Gothic" w:cs="Arial"/>
          <w:i/>
          <w:iCs/>
        </w:rPr>
        <w:tab/>
        <w:t>l’éventuelle mise en place de négociation en vue d’aboutir à un accord majoritaire local avec les organisations syndicales ;</w:t>
      </w:r>
    </w:p>
    <w:p w14:paraId="229CB88E" w14:textId="7885B02C" w:rsidR="000A7FE7" w:rsidRPr="00AA1D81" w:rsidRDefault="000A7FE7" w:rsidP="000A7FE7">
      <w:pPr>
        <w:jc w:val="both"/>
        <w:rPr>
          <w:rFonts w:ascii="Century Gothic" w:hAnsi="Century Gothic" w:cs="Arial"/>
          <w:i/>
          <w:iCs/>
        </w:rPr>
      </w:pPr>
      <w:r w:rsidRPr="00AA1D81">
        <w:rPr>
          <w:rFonts w:ascii="Century Gothic" w:hAnsi="Century Gothic" w:cs="Arial"/>
          <w:i/>
          <w:iCs/>
        </w:rPr>
        <w:t>-</w:t>
      </w:r>
      <w:r w:rsidRPr="00AA1D81">
        <w:rPr>
          <w:rFonts w:ascii="Century Gothic" w:hAnsi="Century Gothic" w:cs="Arial"/>
          <w:i/>
          <w:iCs/>
        </w:rPr>
        <w:tab/>
        <w:t xml:space="preserve">la nature des garanties et le niveau de participation </w:t>
      </w:r>
    </w:p>
    <w:p w14:paraId="2D9E9B2E" w14:textId="77777777" w:rsidR="000A7FE7" w:rsidRPr="00AA1D81" w:rsidRDefault="000A7FE7" w:rsidP="000A7FE7">
      <w:pPr>
        <w:jc w:val="both"/>
        <w:rPr>
          <w:rFonts w:ascii="Century Gothic" w:hAnsi="Century Gothic" w:cs="Arial"/>
          <w:i/>
          <w:iCs/>
        </w:rPr>
      </w:pPr>
      <w:r w:rsidRPr="00AA1D81">
        <w:rPr>
          <w:rFonts w:ascii="Century Gothic" w:hAnsi="Century Gothic" w:cs="Arial"/>
          <w:i/>
          <w:iCs/>
        </w:rPr>
        <w:t>-</w:t>
      </w:r>
      <w:r w:rsidRPr="00AA1D81">
        <w:rPr>
          <w:rFonts w:ascii="Century Gothic" w:hAnsi="Century Gothic" w:cs="Arial"/>
          <w:i/>
          <w:iCs/>
        </w:rPr>
        <w:tab/>
        <w:t>le positionnement de la collectivité/de l’établissement pour participer aux conventions de participation proposés par le Centre de Gestion ;</w:t>
      </w:r>
    </w:p>
    <w:p w14:paraId="6C8A4223" w14:textId="77777777" w:rsidR="000A7FE7" w:rsidRPr="00AA1D81" w:rsidRDefault="000A7FE7" w:rsidP="000A7FE7">
      <w:pPr>
        <w:jc w:val="both"/>
        <w:rPr>
          <w:rFonts w:ascii="Century Gothic" w:hAnsi="Century Gothic" w:cs="Arial"/>
          <w:i/>
          <w:iCs/>
        </w:rPr>
      </w:pPr>
      <w:r w:rsidRPr="00AA1D81">
        <w:rPr>
          <w:rFonts w:ascii="Century Gothic" w:hAnsi="Century Gothic" w:cs="Arial"/>
          <w:i/>
          <w:iCs/>
        </w:rPr>
        <w:t>-</w:t>
      </w:r>
      <w:r w:rsidRPr="00AA1D81">
        <w:rPr>
          <w:rFonts w:ascii="Century Gothic" w:hAnsi="Century Gothic" w:cs="Arial"/>
          <w:i/>
          <w:iCs/>
        </w:rPr>
        <w:tab/>
        <w:t>le calendrier de mise en œuvre.</w:t>
      </w:r>
    </w:p>
    <w:p w14:paraId="55EA22C4" w14:textId="471FE451" w:rsidR="00A32B65" w:rsidRDefault="00A32B65" w:rsidP="00A32B65">
      <w:pPr>
        <w:jc w:val="both"/>
        <w:rPr>
          <w:rFonts w:ascii="Century Gothic" w:hAnsi="Century Gothic" w:cs="Arial"/>
        </w:rPr>
      </w:pPr>
      <w:r w:rsidRPr="00A32B65">
        <w:rPr>
          <w:rFonts w:ascii="Century Gothic" w:hAnsi="Century Gothic" w:cs="Arial"/>
          <w:b/>
          <w:bCs/>
        </w:rPr>
        <w:t>La collectivité a déjà mis en place</w:t>
      </w:r>
      <w:r w:rsidR="00065CF7">
        <w:rPr>
          <w:rFonts w:ascii="Century Gothic" w:hAnsi="Century Gothic" w:cs="Arial"/>
          <w:b/>
          <w:bCs/>
        </w:rPr>
        <w:t xml:space="preserve"> </w:t>
      </w:r>
      <w:r w:rsidRPr="00A32B65">
        <w:rPr>
          <w:rFonts w:ascii="Century Gothic" w:hAnsi="Century Gothic" w:cs="Arial"/>
        </w:rPr>
        <w:t>:</w:t>
      </w:r>
    </w:p>
    <w:p w14:paraId="572E6A30" w14:textId="77407DCC" w:rsidR="008E4864" w:rsidRPr="000D0B75" w:rsidRDefault="000D0B75" w:rsidP="0098552E">
      <w:pPr>
        <w:pStyle w:val="Paragraphedeliste"/>
        <w:numPr>
          <w:ilvl w:val="0"/>
          <w:numId w:val="2"/>
        </w:numPr>
        <w:jc w:val="both"/>
        <w:rPr>
          <w:rFonts w:ascii="Century Gothic" w:hAnsi="Century Gothic" w:cs="Arial"/>
          <w:b/>
          <w:bCs/>
        </w:rPr>
      </w:pPr>
      <w:r w:rsidRPr="000D0B75">
        <w:rPr>
          <w:rFonts w:ascii="Century Gothic" w:hAnsi="Century Gothic" w:cs="Arial"/>
          <w:b/>
          <w:bCs/>
        </w:rPr>
        <w:t>Risque Santé</w:t>
      </w:r>
    </w:p>
    <w:p w14:paraId="6F2B17BD" w14:textId="2A41B66B" w:rsidR="00A32B65" w:rsidRPr="00A32B65" w:rsidRDefault="00A32B65" w:rsidP="00A32B65">
      <w:pPr>
        <w:jc w:val="both"/>
        <w:rPr>
          <w:rFonts w:ascii="Century Gothic" w:hAnsi="Century Gothic" w:cs="Arial"/>
        </w:rPr>
      </w:pPr>
      <w:r w:rsidRPr="00A32B65">
        <w:rPr>
          <w:rFonts w:ascii="Century Gothic" w:hAnsi="Century Gothic" w:cs="Arial"/>
        </w:rPr>
        <w:t>La procédure de labellisation (contrats individuels labellisés)</w:t>
      </w:r>
    </w:p>
    <w:p w14:paraId="633AA099" w14:textId="77777777" w:rsidR="00A32B65" w:rsidRPr="00A32B65" w:rsidRDefault="00A32B65" w:rsidP="00A32B65">
      <w:pPr>
        <w:jc w:val="both"/>
        <w:rPr>
          <w:rFonts w:ascii="Century Gothic" w:hAnsi="Century Gothic" w:cs="Arial"/>
        </w:rPr>
      </w:pPr>
      <w:r w:rsidRPr="00A32B65">
        <w:rPr>
          <w:rFonts w:ascii="Century Gothic" w:hAnsi="Century Gothic" w:cs="Arial"/>
        </w:rPr>
        <w:t xml:space="preserve"> </w:t>
      </w:r>
      <w:proofErr w:type="gramStart"/>
      <w:r w:rsidRPr="00A32B65">
        <w:rPr>
          <w:rFonts w:ascii="Century Gothic" w:hAnsi="Century Gothic" w:cs="Arial"/>
        </w:rPr>
        <w:t>OU</w:t>
      </w:r>
      <w:proofErr w:type="gramEnd"/>
      <w:r w:rsidRPr="00A32B65">
        <w:rPr>
          <w:rFonts w:ascii="Century Gothic" w:hAnsi="Century Gothic" w:cs="Arial"/>
        </w:rPr>
        <w:t xml:space="preserve"> </w:t>
      </w:r>
    </w:p>
    <w:p w14:paraId="5B2FFFFF" w14:textId="0C546C36" w:rsidR="00A32B65" w:rsidRPr="00A32B65" w:rsidRDefault="00A32B65" w:rsidP="00A32B65">
      <w:pPr>
        <w:jc w:val="both"/>
        <w:rPr>
          <w:rFonts w:ascii="Century Gothic" w:hAnsi="Century Gothic" w:cs="Arial"/>
        </w:rPr>
      </w:pPr>
      <w:r w:rsidRPr="00A32B65">
        <w:rPr>
          <w:rFonts w:ascii="Century Gothic" w:hAnsi="Century Gothic" w:cs="Arial"/>
        </w:rPr>
        <w:t>La procédure de convention de participation dans le cadre d’un contrat porté par la collectivité avec « …………… » (préciser l’assureur) depuis…</w:t>
      </w:r>
      <w:proofErr w:type="gramStart"/>
      <w:r w:rsidRPr="00A32B65">
        <w:rPr>
          <w:rFonts w:ascii="Century Gothic" w:hAnsi="Century Gothic" w:cs="Arial"/>
        </w:rPr>
        <w:t>…</w:t>
      </w:r>
      <w:r w:rsidR="00853657" w:rsidRPr="00A32B65">
        <w:rPr>
          <w:rFonts w:ascii="Century Gothic" w:hAnsi="Century Gothic" w:cs="Arial"/>
        </w:rPr>
        <w:t>….</w:t>
      </w:r>
      <w:proofErr w:type="gramEnd"/>
      <w:r w:rsidRPr="00A32B65">
        <w:rPr>
          <w:rFonts w:ascii="Century Gothic" w:hAnsi="Century Gothic" w:cs="Arial"/>
        </w:rPr>
        <w:t xml:space="preserve">. (préciser la date). </w:t>
      </w:r>
    </w:p>
    <w:p w14:paraId="5B7CC17C" w14:textId="775DE827" w:rsidR="00A32B65" w:rsidRDefault="007107FC" w:rsidP="00A32B65">
      <w:pPr>
        <w:jc w:val="both"/>
        <w:rPr>
          <w:rFonts w:ascii="Century Gothic" w:hAnsi="Century Gothic" w:cs="Arial"/>
        </w:rPr>
      </w:pPr>
      <w:proofErr w:type="gramStart"/>
      <w:r>
        <w:rPr>
          <w:rFonts w:ascii="Century Gothic" w:hAnsi="Century Gothic" w:cs="Arial"/>
        </w:rPr>
        <w:t>OU</w:t>
      </w:r>
      <w:proofErr w:type="gramEnd"/>
    </w:p>
    <w:p w14:paraId="5E9FB55E" w14:textId="27F64262" w:rsidR="007107FC" w:rsidRPr="00AA1D81" w:rsidRDefault="007107FC" w:rsidP="00A32B65">
      <w:pPr>
        <w:jc w:val="both"/>
        <w:rPr>
          <w:rFonts w:ascii="Century Gothic" w:hAnsi="Century Gothic" w:cs="Arial"/>
          <w:i/>
          <w:iCs/>
        </w:rPr>
      </w:pPr>
      <w:r>
        <w:rPr>
          <w:rFonts w:ascii="Century Gothic" w:hAnsi="Century Gothic" w:cs="Arial"/>
        </w:rPr>
        <w:lastRenderedPageBreak/>
        <w:t>Adhère à la convention de participation</w:t>
      </w:r>
      <w:r w:rsidR="00DF6DB2">
        <w:rPr>
          <w:rFonts w:ascii="Century Gothic" w:hAnsi="Century Gothic" w:cs="Arial"/>
        </w:rPr>
        <w:t xml:space="preserve"> proposée par le CDG de la Gironde</w:t>
      </w:r>
      <w:r w:rsidR="00EE0BE7">
        <w:rPr>
          <w:rFonts w:ascii="Century Gothic" w:hAnsi="Century Gothic" w:cs="Arial"/>
        </w:rPr>
        <w:t xml:space="preserve"> </w:t>
      </w:r>
      <w:r w:rsidR="0098552E">
        <w:rPr>
          <w:rFonts w:ascii="Century Gothic" w:hAnsi="Century Gothic" w:cs="Arial"/>
        </w:rPr>
        <w:t>(préciser la date d’adhésion)</w:t>
      </w:r>
    </w:p>
    <w:p w14:paraId="5C17A8CF" w14:textId="77777777" w:rsidR="00A32B65" w:rsidRDefault="00A32B65" w:rsidP="00A32B65">
      <w:pPr>
        <w:jc w:val="both"/>
        <w:rPr>
          <w:rFonts w:ascii="Century Gothic" w:hAnsi="Century Gothic" w:cs="Arial"/>
        </w:rPr>
      </w:pPr>
      <w:r w:rsidRPr="00A32B65">
        <w:rPr>
          <w:rFonts w:ascii="Century Gothic" w:hAnsi="Century Gothic" w:cs="Arial"/>
        </w:rPr>
        <w:t xml:space="preserve">      …</w:t>
      </w:r>
      <w:proofErr w:type="gramStart"/>
      <w:r w:rsidRPr="00A32B65">
        <w:rPr>
          <w:rFonts w:ascii="Century Gothic" w:hAnsi="Century Gothic" w:cs="Arial"/>
        </w:rPr>
        <w:t>…….</w:t>
      </w:r>
      <w:proofErr w:type="gramEnd"/>
      <w:r w:rsidRPr="00A32B65">
        <w:rPr>
          <w:rFonts w:ascii="Century Gothic" w:hAnsi="Century Gothic" w:cs="Arial"/>
        </w:rPr>
        <w:t>.(nombre) agents concernés : ………. CNRACL et…</w:t>
      </w:r>
      <w:proofErr w:type="gramStart"/>
      <w:r w:rsidRPr="00A32B65">
        <w:rPr>
          <w:rFonts w:ascii="Century Gothic" w:hAnsi="Century Gothic" w:cs="Arial"/>
        </w:rPr>
        <w:t>…….</w:t>
      </w:r>
      <w:proofErr w:type="gramEnd"/>
      <w:r w:rsidRPr="00A32B65">
        <w:rPr>
          <w:rFonts w:ascii="Century Gothic" w:hAnsi="Century Gothic" w:cs="Arial"/>
        </w:rPr>
        <w:t>. IRCANTEC.</w:t>
      </w:r>
    </w:p>
    <w:p w14:paraId="04D28E6B" w14:textId="77777777" w:rsidR="00BE0CD9" w:rsidRPr="000D0B75" w:rsidRDefault="00BE0CD9" w:rsidP="00BE0CD9">
      <w:pPr>
        <w:jc w:val="both"/>
        <w:rPr>
          <w:rFonts w:ascii="Century Gothic" w:hAnsi="Century Gothic" w:cs="Arial"/>
          <w:b/>
          <w:bCs/>
          <w:i/>
          <w:iCs/>
        </w:rPr>
      </w:pPr>
      <w:r w:rsidRPr="000D0B75">
        <w:rPr>
          <w:rFonts w:ascii="Century Gothic" w:hAnsi="Century Gothic" w:cs="Arial"/>
          <w:b/>
          <w:bCs/>
          <w:i/>
          <w:iCs/>
        </w:rPr>
        <w:t>Rappeler les termes de la prise en charge avec éventuellement les différentes offres et les taux.</w:t>
      </w:r>
    </w:p>
    <w:p w14:paraId="1CAE48FC" w14:textId="02A456E7" w:rsidR="00BE0CD9" w:rsidRPr="00A32B65" w:rsidRDefault="00BE0CD9" w:rsidP="00BE0CD9">
      <w:pPr>
        <w:jc w:val="both"/>
        <w:rPr>
          <w:rFonts w:ascii="Century Gothic" w:hAnsi="Century Gothic" w:cs="Arial"/>
        </w:rPr>
      </w:pPr>
      <w:r w:rsidRPr="00A32B65">
        <w:rPr>
          <w:rFonts w:ascii="Century Gothic" w:hAnsi="Century Gothic" w:cs="Arial"/>
        </w:rPr>
        <w:t xml:space="preserve">La participation de l’employeur </w:t>
      </w:r>
      <w:r w:rsidR="001B56B7">
        <w:rPr>
          <w:rFonts w:ascii="Century Gothic" w:hAnsi="Century Gothic" w:cs="Arial"/>
        </w:rPr>
        <w:t xml:space="preserve">pour le risque Santé </w:t>
      </w:r>
      <w:r w:rsidRPr="00A32B65">
        <w:rPr>
          <w:rFonts w:ascii="Century Gothic" w:hAnsi="Century Gothic" w:cs="Arial"/>
        </w:rPr>
        <w:t>s’élève à ………… €.</w:t>
      </w:r>
    </w:p>
    <w:p w14:paraId="00454A09" w14:textId="17226F9C" w:rsidR="00BE0CD9" w:rsidRPr="000D0B75" w:rsidRDefault="001B56B7" w:rsidP="0098552E">
      <w:pPr>
        <w:pStyle w:val="Paragraphedeliste"/>
        <w:numPr>
          <w:ilvl w:val="0"/>
          <w:numId w:val="2"/>
        </w:numPr>
        <w:jc w:val="both"/>
        <w:rPr>
          <w:rFonts w:ascii="Century Gothic" w:hAnsi="Century Gothic" w:cs="Arial"/>
          <w:b/>
          <w:bCs/>
        </w:rPr>
      </w:pPr>
      <w:r w:rsidRPr="000D0B75">
        <w:rPr>
          <w:rFonts w:ascii="Century Gothic" w:hAnsi="Century Gothic" w:cs="Arial"/>
          <w:b/>
          <w:bCs/>
        </w:rPr>
        <w:t>Risque</w:t>
      </w:r>
      <w:r w:rsidR="000D0B75" w:rsidRPr="000D0B75">
        <w:rPr>
          <w:rFonts w:ascii="Century Gothic" w:hAnsi="Century Gothic" w:cs="Arial"/>
          <w:b/>
          <w:bCs/>
        </w:rPr>
        <w:t xml:space="preserve"> Prévoyance</w:t>
      </w:r>
    </w:p>
    <w:p w14:paraId="48C4D543" w14:textId="77777777" w:rsidR="00B24424" w:rsidRPr="00B24424" w:rsidRDefault="00B24424" w:rsidP="00B24424">
      <w:pPr>
        <w:jc w:val="both"/>
        <w:rPr>
          <w:rFonts w:ascii="Century Gothic" w:hAnsi="Century Gothic" w:cs="Arial"/>
        </w:rPr>
      </w:pPr>
      <w:r w:rsidRPr="00B24424">
        <w:rPr>
          <w:rFonts w:ascii="Century Gothic" w:hAnsi="Century Gothic" w:cs="Arial"/>
        </w:rPr>
        <w:t>La procédure de labellisation (contrats individuels labellisés)</w:t>
      </w:r>
    </w:p>
    <w:p w14:paraId="42363BBD" w14:textId="77777777" w:rsidR="00B24424" w:rsidRPr="00B24424" w:rsidRDefault="00B24424" w:rsidP="00B24424">
      <w:pPr>
        <w:jc w:val="both"/>
        <w:rPr>
          <w:rFonts w:ascii="Century Gothic" w:hAnsi="Century Gothic" w:cs="Arial"/>
        </w:rPr>
      </w:pPr>
      <w:r w:rsidRPr="00B24424">
        <w:rPr>
          <w:rFonts w:ascii="Century Gothic" w:hAnsi="Century Gothic" w:cs="Arial"/>
        </w:rPr>
        <w:t xml:space="preserve"> </w:t>
      </w:r>
      <w:proofErr w:type="gramStart"/>
      <w:r w:rsidRPr="00B24424">
        <w:rPr>
          <w:rFonts w:ascii="Century Gothic" w:hAnsi="Century Gothic" w:cs="Arial"/>
        </w:rPr>
        <w:t>OU</w:t>
      </w:r>
      <w:proofErr w:type="gramEnd"/>
      <w:r w:rsidRPr="00B24424">
        <w:rPr>
          <w:rFonts w:ascii="Century Gothic" w:hAnsi="Century Gothic" w:cs="Arial"/>
        </w:rPr>
        <w:t xml:space="preserve"> </w:t>
      </w:r>
    </w:p>
    <w:p w14:paraId="359E97AE" w14:textId="77777777" w:rsidR="00B24424" w:rsidRPr="00B24424" w:rsidRDefault="00B24424" w:rsidP="00B24424">
      <w:pPr>
        <w:jc w:val="both"/>
        <w:rPr>
          <w:rFonts w:ascii="Century Gothic" w:hAnsi="Century Gothic" w:cs="Arial"/>
        </w:rPr>
      </w:pPr>
      <w:r w:rsidRPr="00B24424">
        <w:rPr>
          <w:rFonts w:ascii="Century Gothic" w:hAnsi="Century Gothic" w:cs="Arial"/>
        </w:rPr>
        <w:t>La procédure de convention de participation dans le cadre d’un contrat porté par la collectivité avec « …………… » (préciser l’assureur) depuis…</w:t>
      </w:r>
      <w:proofErr w:type="gramStart"/>
      <w:r w:rsidRPr="00B24424">
        <w:rPr>
          <w:rFonts w:ascii="Century Gothic" w:hAnsi="Century Gothic" w:cs="Arial"/>
        </w:rPr>
        <w:t>…….</w:t>
      </w:r>
      <w:proofErr w:type="gramEnd"/>
      <w:r w:rsidRPr="00B24424">
        <w:rPr>
          <w:rFonts w:ascii="Century Gothic" w:hAnsi="Century Gothic" w:cs="Arial"/>
        </w:rPr>
        <w:t xml:space="preserve">. (préciser la date). </w:t>
      </w:r>
    </w:p>
    <w:p w14:paraId="202DB5C5" w14:textId="77777777" w:rsidR="00B24424" w:rsidRPr="00B24424" w:rsidRDefault="00B24424" w:rsidP="00B24424">
      <w:pPr>
        <w:jc w:val="both"/>
        <w:rPr>
          <w:rFonts w:ascii="Century Gothic" w:hAnsi="Century Gothic" w:cs="Arial"/>
        </w:rPr>
      </w:pPr>
      <w:proofErr w:type="gramStart"/>
      <w:r w:rsidRPr="00B24424">
        <w:rPr>
          <w:rFonts w:ascii="Century Gothic" w:hAnsi="Century Gothic" w:cs="Arial"/>
        </w:rPr>
        <w:t>OU</w:t>
      </w:r>
      <w:proofErr w:type="gramEnd"/>
    </w:p>
    <w:p w14:paraId="14A30BF4" w14:textId="77777777" w:rsidR="00B24424" w:rsidRPr="00B24424" w:rsidRDefault="00B24424" w:rsidP="00B24424">
      <w:pPr>
        <w:jc w:val="both"/>
        <w:rPr>
          <w:rFonts w:ascii="Century Gothic" w:hAnsi="Century Gothic" w:cs="Arial"/>
        </w:rPr>
      </w:pPr>
      <w:r w:rsidRPr="00B24424">
        <w:rPr>
          <w:rFonts w:ascii="Century Gothic" w:hAnsi="Century Gothic" w:cs="Arial"/>
        </w:rPr>
        <w:t>Adhère à la convention de participation proposée par le CDG de la Gironde (préciser la date d’adhésion)</w:t>
      </w:r>
    </w:p>
    <w:p w14:paraId="4E0E4AC2" w14:textId="77777777" w:rsidR="00B24424" w:rsidRPr="00B24424" w:rsidRDefault="00B24424" w:rsidP="00B24424">
      <w:pPr>
        <w:jc w:val="both"/>
        <w:rPr>
          <w:rFonts w:ascii="Century Gothic" w:hAnsi="Century Gothic" w:cs="Arial"/>
        </w:rPr>
      </w:pPr>
      <w:r w:rsidRPr="00B24424">
        <w:rPr>
          <w:rFonts w:ascii="Century Gothic" w:hAnsi="Century Gothic" w:cs="Arial"/>
        </w:rPr>
        <w:t xml:space="preserve">      …</w:t>
      </w:r>
      <w:proofErr w:type="gramStart"/>
      <w:r w:rsidRPr="00B24424">
        <w:rPr>
          <w:rFonts w:ascii="Century Gothic" w:hAnsi="Century Gothic" w:cs="Arial"/>
        </w:rPr>
        <w:t>…….</w:t>
      </w:r>
      <w:proofErr w:type="gramEnd"/>
      <w:r w:rsidRPr="00B24424">
        <w:rPr>
          <w:rFonts w:ascii="Century Gothic" w:hAnsi="Century Gothic" w:cs="Arial"/>
        </w:rPr>
        <w:t>.(nombre) agents concernés : ………. CNRACL et…</w:t>
      </w:r>
      <w:proofErr w:type="gramStart"/>
      <w:r w:rsidRPr="00B24424">
        <w:rPr>
          <w:rFonts w:ascii="Century Gothic" w:hAnsi="Century Gothic" w:cs="Arial"/>
        </w:rPr>
        <w:t>…….</w:t>
      </w:r>
      <w:proofErr w:type="gramEnd"/>
      <w:r w:rsidRPr="00B24424">
        <w:rPr>
          <w:rFonts w:ascii="Century Gothic" w:hAnsi="Century Gothic" w:cs="Arial"/>
        </w:rPr>
        <w:t>. IRCANTEC.</w:t>
      </w:r>
    </w:p>
    <w:p w14:paraId="1556DA62" w14:textId="77777777" w:rsidR="00B24424" w:rsidRPr="001B56B7" w:rsidRDefault="00B24424" w:rsidP="00B24424">
      <w:pPr>
        <w:jc w:val="both"/>
        <w:rPr>
          <w:rFonts w:ascii="Century Gothic" w:hAnsi="Century Gothic" w:cs="Arial"/>
          <w:b/>
          <w:bCs/>
        </w:rPr>
      </w:pPr>
      <w:r w:rsidRPr="000D0B75">
        <w:rPr>
          <w:rFonts w:ascii="Century Gothic" w:hAnsi="Century Gothic" w:cs="Arial"/>
          <w:b/>
          <w:bCs/>
          <w:i/>
          <w:iCs/>
        </w:rPr>
        <w:t>Rappeler les termes de la prise en charge avec éventuellement les différentes offres et les taux</w:t>
      </w:r>
      <w:r w:rsidRPr="001B56B7">
        <w:rPr>
          <w:rFonts w:ascii="Century Gothic" w:hAnsi="Century Gothic" w:cs="Arial"/>
          <w:b/>
          <w:bCs/>
        </w:rPr>
        <w:t>.</w:t>
      </w:r>
    </w:p>
    <w:p w14:paraId="16A24342" w14:textId="254E937A" w:rsidR="00BE0CD9" w:rsidRPr="00A32B65" w:rsidRDefault="00B24424" w:rsidP="00B24424">
      <w:pPr>
        <w:jc w:val="both"/>
        <w:rPr>
          <w:rFonts w:ascii="Century Gothic" w:hAnsi="Century Gothic" w:cs="Arial"/>
        </w:rPr>
      </w:pPr>
      <w:r w:rsidRPr="00B24424">
        <w:rPr>
          <w:rFonts w:ascii="Century Gothic" w:hAnsi="Century Gothic" w:cs="Arial"/>
        </w:rPr>
        <w:t xml:space="preserve">La participation de l’employeur </w:t>
      </w:r>
      <w:r w:rsidR="001B56B7" w:rsidRPr="001B56B7">
        <w:rPr>
          <w:rFonts w:ascii="Century Gothic" w:hAnsi="Century Gothic" w:cs="Arial"/>
        </w:rPr>
        <w:t>pour le risque prévoyance</w:t>
      </w:r>
      <w:r w:rsidR="001B56B7" w:rsidRPr="001B56B7">
        <w:rPr>
          <w:rFonts w:ascii="Century Gothic" w:hAnsi="Century Gothic" w:cs="Arial"/>
        </w:rPr>
        <w:t xml:space="preserve"> </w:t>
      </w:r>
      <w:r w:rsidRPr="00B24424">
        <w:rPr>
          <w:rFonts w:ascii="Century Gothic" w:hAnsi="Century Gothic" w:cs="Arial"/>
        </w:rPr>
        <w:t>s’élève à ………… €.</w:t>
      </w:r>
    </w:p>
    <w:p w14:paraId="013BBB48" w14:textId="77777777" w:rsidR="00B24424" w:rsidRDefault="00B24424" w:rsidP="00A32B65">
      <w:pPr>
        <w:jc w:val="both"/>
        <w:rPr>
          <w:rFonts w:ascii="Century Gothic" w:hAnsi="Century Gothic" w:cs="Arial"/>
          <w:b/>
          <w:bCs/>
        </w:rPr>
      </w:pPr>
    </w:p>
    <w:p w14:paraId="0672460B" w14:textId="77777777" w:rsidR="00B24424" w:rsidRDefault="00B24424" w:rsidP="00A32B65">
      <w:pPr>
        <w:jc w:val="both"/>
        <w:rPr>
          <w:rFonts w:ascii="Century Gothic" w:hAnsi="Century Gothic" w:cs="Arial"/>
          <w:b/>
          <w:bCs/>
        </w:rPr>
      </w:pPr>
    </w:p>
    <w:p w14:paraId="12B3E338" w14:textId="6B8C7506" w:rsidR="00A32B65" w:rsidRDefault="00B8762F" w:rsidP="00A32B65">
      <w:pPr>
        <w:jc w:val="both"/>
        <w:rPr>
          <w:rFonts w:ascii="Century Gothic" w:hAnsi="Century Gothic" w:cs="Arial"/>
          <w:b/>
          <w:bCs/>
        </w:rPr>
      </w:pPr>
      <w:r w:rsidRPr="00B8762F">
        <w:rPr>
          <w:rFonts w:ascii="Century Gothic" w:hAnsi="Century Gothic" w:cs="Arial"/>
          <w:b/>
          <w:bCs/>
        </w:rPr>
        <w:t>La collectivité envisage</w:t>
      </w:r>
      <w:r w:rsidR="001703BE">
        <w:rPr>
          <w:rFonts w:ascii="Century Gothic" w:hAnsi="Century Gothic" w:cs="Arial"/>
          <w:b/>
          <w:bCs/>
        </w:rPr>
        <w:t xml:space="preserve"> </w:t>
      </w:r>
      <w:r w:rsidRPr="00B8762F">
        <w:rPr>
          <w:rFonts w:ascii="Century Gothic" w:hAnsi="Century Gothic" w:cs="Arial"/>
          <w:b/>
          <w:bCs/>
        </w:rPr>
        <w:t>:</w:t>
      </w:r>
    </w:p>
    <w:p w14:paraId="1FE9BA05" w14:textId="4B3A77CF" w:rsidR="00B8762F" w:rsidRPr="00B8762F" w:rsidRDefault="00BE0CD9" w:rsidP="00A32B65">
      <w:pPr>
        <w:jc w:val="both"/>
        <w:rPr>
          <w:rFonts w:ascii="Century Gothic" w:hAnsi="Century Gothic" w:cs="Arial"/>
        </w:rPr>
      </w:pPr>
      <w:r>
        <w:rPr>
          <w:rFonts w:ascii="Century Gothic" w:hAnsi="Century Gothic" w:cs="Arial"/>
        </w:rPr>
        <w:t>…………………………</w:t>
      </w:r>
    </w:p>
    <w:p w14:paraId="50DF000C" w14:textId="77777777" w:rsidR="00B8762F" w:rsidRDefault="00B8762F" w:rsidP="00A32B65">
      <w:pPr>
        <w:jc w:val="both"/>
        <w:rPr>
          <w:rFonts w:ascii="Century Gothic" w:hAnsi="Century Gothic" w:cs="Arial"/>
          <w:b/>
          <w:bCs/>
        </w:rPr>
      </w:pPr>
    </w:p>
    <w:p w14:paraId="3EAE9DDD" w14:textId="77777777" w:rsidR="00B8762F" w:rsidRPr="00B8762F" w:rsidRDefault="00B8762F" w:rsidP="00A32B65">
      <w:pPr>
        <w:jc w:val="both"/>
        <w:rPr>
          <w:rFonts w:ascii="Century Gothic" w:hAnsi="Century Gothic" w:cs="Arial"/>
          <w:b/>
          <w:bCs/>
        </w:rPr>
      </w:pPr>
    </w:p>
    <w:p w14:paraId="0F182464" w14:textId="77777777" w:rsidR="000A7FE7" w:rsidRDefault="000A7FE7" w:rsidP="000A7FE7">
      <w:pPr>
        <w:jc w:val="both"/>
        <w:rPr>
          <w:rFonts w:ascii="Century Gothic" w:hAnsi="Century Gothic" w:cs="Arial"/>
        </w:rPr>
      </w:pPr>
    </w:p>
    <w:p w14:paraId="26C6E219" w14:textId="77777777" w:rsidR="00BE0CD9" w:rsidRDefault="00BE0CD9" w:rsidP="000A7FE7">
      <w:pPr>
        <w:jc w:val="both"/>
        <w:rPr>
          <w:rFonts w:ascii="Century Gothic" w:hAnsi="Century Gothic" w:cs="Arial"/>
        </w:rPr>
      </w:pPr>
    </w:p>
    <w:p w14:paraId="0F55D08F" w14:textId="77777777" w:rsidR="00BE0CD9" w:rsidRDefault="00BE0CD9" w:rsidP="000A7FE7">
      <w:pPr>
        <w:jc w:val="both"/>
        <w:rPr>
          <w:rFonts w:ascii="Century Gothic" w:hAnsi="Century Gothic" w:cs="Arial"/>
        </w:rPr>
      </w:pPr>
    </w:p>
    <w:p w14:paraId="22710F21" w14:textId="77777777" w:rsidR="006C68C1" w:rsidRPr="000A7FE7" w:rsidRDefault="006C68C1" w:rsidP="000A7FE7">
      <w:pPr>
        <w:jc w:val="both"/>
        <w:rPr>
          <w:rFonts w:ascii="Century Gothic" w:hAnsi="Century Gothic" w:cs="Arial"/>
        </w:rPr>
      </w:pPr>
    </w:p>
    <w:p w14:paraId="2C38C48E" w14:textId="08FCBFCF" w:rsidR="000A7FE7" w:rsidRPr="000A7FE7" w:rsidRDefault="006C68C1" w:rsidP="000A7FE7">
      <w:pPr>
        <w:jc w:val="both"/>
        <w:rPr>
          <w:rFonts w:ascii="Century Gothic" w:hAnsi="Century Gothic" w:cs="Arial"/>
        </w:rPr>
      </w:pPr>
      <w:r w:rsidRPr="006C68C1">
        <w:rPr>
          <w:rFonts w:ascii="Century Gothic" w:hAnsi="Century Gothic" w:cs="Arial"/>
        </w:rPr>
        <w:t>Il est proposé au Conseil ……. de prendre acte du débat précité.</w:t>
      </w:r>
    </w:p>
    <w:p w14:paraId="18D94638" w14:textId="77777777" w:rsidR="000A7FE7" w:rsidRPr="000A7FE7" w:rsidRDefault="000A7FE7" w:rsidP="000A7FE7">
      <w:pPr>
        <w:jc w:val="both"/>
        <w:rPr>
          <w:rFonts w:ascii="Century Gothic" w:hAnsi="Century Gothic" w:cs="Arial"/>
          <w:b/>
          <w:bCs/>
        </w:rPr>
      </w:pPr>
      <w:r w:rsidRPr="000A7FE7">
        <w:rPr>
          <w:rFonts w:ascii="Century Gothic" w:hAnsi="Century Gothic" w:cs="Arial"/>
          <w:b/>
          <w:bCs/>
        </w:rPr>
        <w:t>Important : Le présent modèle proposé par le Centre de Gestion est indicatif.</w:t>
      </w:r>
    </w:p>
    <w:p w14:paraId="2662E98D" w14:textId="62678285" w:rsidR="00D14CD9" w:rsidRPr="000A7FE7" w:rsidRDefault="000A7FE7" w:rsidP="000A7FE7">
      <w:pPr>
        <w:jc w:val="both"/>
        <w:rPr>
          <w:rFonts w:ascii="Century Gothic" w:hAnsi="Century Gothic" w:cs="Arial"/>
          <w:b/>
          <w:bCs/>
        </w:rPr>
      </w:pPr>
      <w:r w:rsidRPr="000A7FE7">
        <w:rPr>
          <w:rFonts w:ascii="Century Gothic" w:hAnsi="Century Gothic" w:cs="Arial"/>
          <w:b/>
          <w:bCs/>
        </w:rPr>
        <w:t>Il appartient à l’autorité territoriale de l’adapter au contexte particulier de la structure concernée.</w:t>
      </w:r>
    </w:p>
    <w:sectPr w:rsidR="00D14CD9" w:rsidRPr="000A7FE7" w:rsidSect="00245012">
      <w:pgSz w:w="11906" w:h="16838" w:code="9"/>
      <w:pgMar w:top="567" w:right="567" w:bottom="2381" w:left="567" w:header="454"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A51C2"/>
    <w:multiLevelType w:val="hybridMultilevel"/>
    <w:tmpl w:val="9BD27664"/>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7D6503"/>
    <w:multiLevelType w:val="hybridMultilevel"/>
    <w:tmpl w:val="7AC413DA"/>
    <w:lvl w:ilvl="0" w:tplc="56E0285A">
      <w:numFmt w:val="bullet"/>
      <w:lvlText w:val="-"/>
      <w:lvlJc w:val="left"/>
      <w:pPr>
        <w:ind w:left="720" w:hanging="360"/>
      </w:pPr>
      <w:rPr>
        <w:rFonts w:ascii="Century Gothic" w:eastAsiaTheme="minorHAnsi"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230031">
    <w:abstractNumId w:val="0"/>
  </w:num>
  <w:num w:numId="2" w16cid:durableId="1698652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40"/>
    <w:rsid w:val="00005A35"/>
    <w:rsid w:val="00050F42"/>
    <w:rsid w:val="00065CF7"/>
    <w:rsid w:val="000947E1"/>
    <w:rsid w:val="000A7FE7"/>
    <w:rsid w:val="000B1CA3"/>
    <w:rsid w:val="000D0B75"/>
    <w:rsid w:val="000E4DCB"/>
    <w:rsid w:val="000F5E65"/>
    <w:rsid w:val="0011422A"/>
    <w:rsid w:val="001703BE"/>
    <w:rsid w:val="00194CA8"/>
    <w:rsid w:val="001B56B7"/>
    <w:rsid w:val="001C6D2B"/>
    <w:rsid w:val="001D6301"/>
    <w:rsid w:val="001E084D"/>
    <w:rsid w:val="00245012"/>
    <w:rsid w:val="00260280"/>
    <w:rsid w:val="002F756D"/>
    <w:rsid w:val="00312D5C"/>
    <w:rsid w:val="003305E1"/>
    <w:rsid w:val="00402645"/>
    <w:rsid w:val="00403F3A"/>
    <w:rsid w:val="004475B8"/>
    <w:rsid w:val="004D64F9"/>
    <w:rsid w:val="00557ADE"/>
    <w:rsid w:val="005B1540"/>
    <w:rsid w:val="006240F9"/>
    <w:rsid w:val="00630DD4"/>
    <w:rsid w:val="006464AA"/>
    <w:rsid w:val="0067664A"/>
    <w:rsid w:val="00680688"/>
    <w:rsid w:val="00693B2B"/>
    <w:rsid w:val="006C68C1"/>
    <w:rsid w:val="006E37AE"/>
    <w:rsid w:val="007107FC"/>
    <w:rsid w:val="00770B3C"/>
    <w:rsid w:val="007A3B27"/>
    <w:rsid w:val="007C567E"/>
    <w:rsid w:val="007F4EEE"/>
    <w:rsid w:val="0083261F"/>
    <w:rsid w:val="0083728A"/>
    <w:rsid w:val="00853657"/>
    <w:rsid w:val="00856A5F"/>
    <w:rsid w:val="008E4864"/>
    <w:rsid w:val="00954A46"/>
    <w:rsid w:val="0096312C"/>
    <w:rsid w:val="0098552E"/>
    <w:rsid w:val="009B052A"/>
    <w:rsid w:val="00A04BC4"/>
    <w:rsid w:val="00A32B65"/>
    <w:rsid w:val="00A4606F"/>
    <w:rsid w:val="00A64FEA"/>
    <w:rsid w:val="00A965DF"/>
    <w:rsid w:val="00AA1D81"/>
    <w:rsid w:val="00AB6DE0"/>
    <w:rsid w:val="00B031ED"/>
    <w:rsid w:val="00B22F69"/>
    <w:rsid w:val="00B24424"/>
    <w:rsid w:val="00B56D6E"/>
    <w:rsid w:val="00B8762F"/>
    <w:rsid w:val="00BD7692"/>
    <w:rsid w:val="00BE0CD9"/>
    <w:rsid w:val="00CF14A8"/>
    <w:rsid w:val="00D14CD9"/>
    <w:rsid w:val="00D36D40"/>
    <w:rsid w:val="00DB6FB4"/>
    <w:rsid w:val="00DF6DB2"/>
    <w:rsid w:val="00E333E8"/>
    <w:rsid w:val="00EE0BE7"/>
    <w:rsid w:val="00EE62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F82D"/>
  <w15:chartTrackingRefBased/>
  <w15:docId w15:val="{3471CEEE-9AF0-475C-9793-FC9642F6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66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76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766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766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766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766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66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66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66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6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66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66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66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66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66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66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66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664A"/>
    <w:rPr>
      <w:rFonts w:eastAsiaTheme="majorEastAsia" w:cstheme="majorBidi"/>
      <w:color w:val="272727" w:themeColor="text1" w:themeTint="D8"/>
    </w:rPr>
  </w:style>
  <w:style w:type="paragraph" w:styleId="Titre">
    <w:name w:val="Title"/>
    <w:basedOn w:val="Normal"/>
    <w:next w:val="Normal"/>
    <w:link w:val="TitreCar"/>
    <w:uiPriority w:val="10"/>
    <w:qFormat/>
    <w:rsid w:val="00676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66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66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66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664A"/>
    <w:pPr>
      <w:spacing w:before="160"/>
      <w:jc w:val="center"/>
    </w:pPr>
    <w:rPr>
      <w:i/>
      <w:iCs/>
      <w:color w:val="404040" w:themeColor="text1" w:themeTint="BF"/>
    </w:rPr>
  </w:style>
  <w:style w:type="character" w:customStyle="1" w:styleId="CitationCar">
    <w:name w:val="Citation Car"/>
    <w:basedOn w:val="Policepardfaut"/>
    <w:link w:val="Citation"/>
    <w:uiPriority w:val="29"/>
    <w:rsid w:val="0067664A"/>
    <w:rPr>
      <w:i/>
      <w:iCs/>
      <w:color w:val="404040" w:themeColor="text1" w:themeTint="BF"/>
    </w:rPr>
  </w:style>
  <w:style w:type="paragraph" w:styleId="Paragraphedeliste">
    <w:name w:val="List Paragraph"/>
    <w:basedOn w:val="Normal"/>
    <w:uiPriority w:val="34"/>
    <w:qFormat/>
    <w:rsid w:val="0067664A"/>
    <w:pPr>
      <w:ind w:left="720"/>
      <w:contextualSpacing/>
    </w:pPr>
  </w:style>
  <w:style w:type="character" w:styleId="Accentuationintense">
    <w:name w:val="Intense Emphasis"/>
    <w:basedOn w:val="Policepardfaut"/>
    <w:uiPriority w:val="21"/>
    <w:qFormat/>
    <w:rsid w:val="0067664A"/>
    <w:rPr>
      <w:i/>
      <w:iCs/>
      <w:color w:val="2F5496" w:themeColor="accent1" w:themeShade="BF"/>
    </w:rPr>
  </w:style>
  <w:style w:type="paragraph" w:styleId="Citationintense">
    <w:name w:val="Intense Quote"/>
    <w:basedOn w:val="Normal"/>
    <w:next w:val="Normal"/>
    <w:link w:val="CitationintenseCar"/>
    <w:uiPriority w:val="30"/>
    <w:qFormat/>
    <w:rsid w:val="006766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7664A"/>
    <w:rPr>
      <w:i/>
      <w:iCs/>
      <w:color w:val="2F5496" w:themeColor="accent1" w:themeShade="BF"/>
    </w:rPr>
  </w:style>
  <w:style w:type="character" w:styleId="Rfrenceintense">
    <w:name w:val="Intense Reference"/>
    <w:basedOn w:val="Policepardfaut"/>
    <w:uiPriority w:val="32"/>
    <w:qFormat/>
    <w:rsid w:val="0067664A"/>
    <w:rPr>
      <w:b/>
      <w:bCs/>
      <w:smallCaps/>
      <w:color w:val="2F5496" w:themeColor="accent1" w:themeShade="BF"/>
      <w:spacing w:val="5"/>
    </w:rPr>
  </w:style>
  <w:style w:type="paragraph" w:customStyle="1" w:styleId="infostexte">
    <w:name w:val="infos texte"/>
    <w:basedOn w:val="Normal"/>
    <w:link w:val="infostexteCar"/>
    <w:qFormat/>
    <w:rsid w:val="00B22F69"/>
    <w:pPr>
      <w:jc w:val="both"/>
    </w:pPr>
    <w:rPr>
      <w:rFonts w:ascii="Calibri" w:eastAsia="Calibri" w:hAnsi="Calibri" w:cs="Times New Roman"/>
      <w:sz w:val="20"/>
    </w:rPr>
  </w:style>
  <w:style w:type="character" w:customStyle="1" w:styleId="infostexteCar">
    <w:name w:val="infos texte Car"/>
    <w:link w:val="infostexte"/>
    <w:rsid w:val="00B22F69"/>
    <w:rPr>
      <w:rFonts w:ascii="Calibri" w:eastAsia="Calibri" w:hAnsi="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2026-05-31T22:00:00+00:00</Date_x0020_de_x0020_publication>
    <Tag xmlns="6fe09545-cdc4-43a9-9da5-abd37ca73394">Santé - Prévoyance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Assurance et protection sociale</CATEGORIE>
    <Thème_x0020_2_x0020_site_x0020_internet xmlns="6fe09545-cdc4-43a9-9da5-abd37ca733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D7D682F7A14B2E46BD99041C2B20C310" ma:contentTypeVersion="13" ma:contentTypeDescription="" ma:contentTypeScope="" ma:versionID="1e33d86e3b4e4a1700a66e9ceb839842">
  <xsd:schema xmlns:xsd="http://www.w3.org/2001/XMLSchema" xmlns:xs="http://www.w3.org/2001/XMLSchema" xmlns:p="http://schemas.microsoft.com/office/2006/metadata/properties" xmlns:ns2="d13cbe4f-1448-46a5-af3f-2daad8b9242e" xmlns:ns3="6fe09545-cdc4-43a9-9da5-abd37ca73394" xmlns:ns4="78d94a20-203d-4fed-b2b0-0c3646b9c7a2" targetNamespace="http://schemas.microsoft.com/office/2006/metadata/properties" ma:root="true" ma:fieldsID="5426ac84ea1abd7344a39dc18a7d5fdf" ns2:_="" ns3:_="" ns4:_="">
    <xsd:import namespace="d13cbe4f-1448-46a5-af3f-2daad8b9242e"/>
    <xsd:import namespace="6fe09545-cdc4-43a9-9da5-abd37ca73394"/>
    <xsd:import namespace="78d94a20-203d-4fed-b2b0-0c3646b9c7a2"/>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78d94a20-203d-4fed-b2b0-0c3646b9c7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1CDC37C1-AD39-4569-9F56-E8AE2A503179}">
  <ds:schemaRefs>
    <ds:schemaRef ds:uri="http://schemas.microsoft.com/office/2006/metadata/properties"/>
    <ds:schemaRef ds:uri="http://schemas.microsoft.com/office/infopath/2007/PartnerControls"/>
    <ds:schemaRef ds:uri="f3e137e1-a356-49cf-b070-7e194adfe7bd"/>
    <ds:schemaRef ds:uri="fe424375-4b9b-4762-9f8f-3cc483da8325"/>
  </ds:schemaRefs>
</ds:datastoreItem>
</file>

<file path=customXml/itemProps2.xml><?xml version="1.0" encoding="utf-8"?>
<ds:datastoreItem xmlns:ds="http://schemas.openxmlformats.org/officeDocument/2006/customXml" ds:itemID="{F875B279-66B4-492F-B0CF-37E19BD910F9}">
  <ds:schemaRefs>
    <ds:schemaRef ds:uri="http://schemas.microsoft.com/sharepoint/v3/contenttype/forms"/>
  </ds:schemaRefs>
</ds:datastoreItem>
</file>

<file path=customXml/itemProps3.xml><?xml version="1.0" encoding="utf-8"?>
<ds:datastoreItem xmlns:ds="http://schemas.openxmlformats.org/officeDocument/2006/customXml" ds:itemID="{FAED4C19-B8C7-41D3-ABA7-C18514B55BF1}"/>
</file>

<file path=customXml/itemProps4.xml><?xml version="1.0" encoding="utf-8"?>
<ds:datastoreItem xmlns:ds="http://schemas.openxmlformats.org/officeDocument/2006/customXml" ds:itemID="{AA0259EF-420A-42D9-904A-2F4279292085}"/>
</file>

<file path=docProps/app.xml><?xml version="1.0" encoding="utf-8"?>
<Properties xmlns="http://schemas.openxmlformats.org/officeDocument/2006/extended-properties" xmlns:vt="http://schemas.openxmlformats.org/officeDocument/2006/docPropsVTypes">
  <Template>Normal</Template>
  <TotalTime>228</TotalTime>
  <Pages>4</Pages>
  <Words>1329</Words>
  <Characters>7313</Characters>
  <Application>Microsoft Office Word</Application>
  <DocSecurity>0</DocSecurity>
  <Lines>60</Lines>
  <Paragraphs>17</Paragraphs>
  <ScaleCrop>false</ScaleCrop>
  <Company>CDG33</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rapport sur le débat concernant la protection sociale complémentaire risques santé et prévoyance (version juin 2026)</dc:title>
  <dc:subject/>
  <dc:creator>CHANEL Isabelle</dc:creator>
  <cp:keywords/>
  <dc:description/>
  <cp:lastModifiedBy>CHANEL Isabelle</cp:lastModifiedBy>
  <cp:revision>80</cp:revision>
  <dcterms:created xsi:type="dcterms:W3CDTF">2026-06-01T06:15:00Z</dcterms:created>
  <dcterms:modified xsi:type="dcterms:W3CDTF">2026-06-01T10:20:00Z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0x010100DE67B4170B45E24899E1F0558CDB95BB00D7D682F7A14B2E46BD99041C2B20C310</vt:lpwstr>
  </property>
  <property fmtid="{D5CDD505-2E9C-101B-9397-08002B2CF9AE}" pid="3" name="Nature">
    <vt:lpwstr/>
  </property>
  <property fmtid="{D5CDD505-2E9C-101B-9397-08002B2CF9AE}" pid="4" name="Origine">
    <vt:lpwstr/>
  </property>
  <property fmtid="{D5CDD505-2E9C-101B-9397-08002B2CF9AE}" pid="6" name="DMS_WebsiteTheme">
    <vt:lpwstr/>
  </property>
  <property fmtid="{D5CDD505-2E9C-101B-9397-08002B2CF9AE}" pid="7" name="DMS_Tag">
    <vt:lpwstr/>
  </property>
  <property fmtid="{D5CDD505-2E9C-101B-9397-08002B2CF9AE}" pid="8" name="DMS_TypeOfPublication">
    <vt:lpwstr>48;#Privé|9d61055b-725b-4297-9a77-8c5caa518546</vt:lpwstr>
  </property>
</Properties>
</file>