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442085" w14:textId="2EB52261">
      <w:pPr>
        <w:pStyle w:val="681"/>
        <w:pBdr/>
        <w:spacing w:after="0"/>
        <w:ind w:left="284"/>
        <w:jc w:val="center"/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pP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  <w:t xml:space="preserve">Modèle d’arrêté de fin de détachement sur emploi fonctionnel</w:t>
      </w: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r>
    </w:p>
    <w:p w14:paraId="78AD3D85" w14:textId="6692DDE6">
      <w:pPr>
        <w:pStyle w:val="681"/>
        <w:pBdr/>
        <w:spacing w:after="0"/>
        <w:ind w:left="284"/>
        <w:jc w:val="center"/>
        <w:rPr>
          <w:rFonts w:ascii="Avenir Next LT Pro" w:hAnsi="Avenir Next LT Pro" w:cs="Arial"/>
          <w:i/>
          <w:iCs/>
          <w:color w:val="b52d51"/>
          <w:sz w:val="28"/>
          <w:szCs w:val="32"/>
        </w:rPr>
      </w:pP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(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Volet collectivité d’accueil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)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</w:r>
    </w:p>
    <w:p w14:paraId="3817DC17" w14:textId="77777777">
      <w:pPr>
        <w:pStyle w:val="685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tbl>
      <w:tblPr>
        <w:tblStyle w:val="696"/>
        <w:tblW w:w="0" w:type="auto"/>
        <w:tblBorders/>
        <w:tblLook w:val="04A0" w:firstRow="1" w:lastRow="0" w:firstColumn="1" w:lastColumn="0" w:noHBand="0" w:noVBand="1"/>
      </w:tblPr>
      <w:tblGrid>
        <w:gridCol w:w="10338"/>
      </w:tblGrid>
      <w:tr>
        <w:trPr>
          <w:trHeight w:val="1798"/>
        </w:trPr>
        <w:tc>
          <w:tcPr>
            <w:tcBorders/>
            <w:tcW w:w="10338" w:type="dxa"/>
            <w:textDirection w:val="lrTb"/>
            <w:noWrap w:val="false"/>
          </w:tcPr>
          <w:p w14:paraId="0C2DD404" w14:textId="4366DB4C">
            <w:pPr>
              <w:pStyle w:val="685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Ce modèle d’arrêté est destiné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à la collectivité ou l’établissement d’accueil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du fonctionnaire détaché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confronté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à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la situation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de fin de détachement suivante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 :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34D0C81" w14:textId="77777777">
            <w:pPr>
              <w:pStyle w:val="685"/>
              <w:numPr>
                <w:ilvl w:val="0"/>
                <w:numId w:val="7"/>
              </w:numPr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Fin anticipée du détachement à la demande de la collectivité d’accueil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ou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Non-renouvellement du détachement à son terme à la demande de la collectivité d’accueil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7B593B6A" w14:textId="1DF83574">
            <w:pPr>
              <w:pStyle w:val="685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  <w:t xml:space="preserve">ET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r>
          </w:p>
          <w:p w14:paraId="0A4EBC63" w14:textId="77777777">
            <w:pPr>
              <w:pStyle w:val="685"/>
              <w:numPr>
                <w:ilvl w:val="0"/>
                <w:numId w:val="7"/>
              </w:numPr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A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bsence de vacance d’emploi dans la collectivité d’origine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DA30389" w14:textId="67EFB28C">
            <w:pPr>
              <w:pStyle w:val="685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  <w:t xml:space="preserve">ET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r>
          </w:p>
          <w:p w14:paraId="24DC3A1F" w14:textId="7B0CE624">
            <w:pPr>
              <w:pStyle w:val="685"/>
              <w:numPr>
                <w:ilvl w:val="0"/>
                <w:numId w:val="7"/>
              </w:numPr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Demande du droit d’option du fonctionnaire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</w:tc>
      </w:tr>
    </w:tbl>
    <w:p w14:paraId="27362A6D" w14:textId="77777777">
      <w:pPr>
        <w:pStyle w:val="685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BC4A597" w14:textId="066336B3">
      <w:pPr>
        <w:pStyle w:val="685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ARRETE 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1211591E" w14:textId="6548D4DB">
      <w:pPr>
        <w:pStyle w:val="685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DE FIN DE DETACHEMENT DE 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 …………………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3E947D69" w14:textId="77777777">
      <w:pPr>
        <w:pStyle w:val="685"/>
        <w:pBdr/>
        <w:spacing/>
        <w:ind w:firstLine="708" w:left="1416"/>
        <w:jc w:val="left"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OCCUPANT L’EMPLOI FONCTIONNEL DE 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619BF0BF" w14:textId="77777777">
      <w:pPr>
        <w:pStyle w:val="686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66FB3CB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513581" w14:textId="01F4A9A6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G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énéral des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ollectivités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erritoriales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(CGCT)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67067A" w14:textId="09FBD1E2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(CGFP)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702BD1" w14:textId="70B1DB9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n°86-68 du 13 janvier 1986 modifié relatif aux positions de détachement, de disponibilité et de congé parental des fonctionnaires territoriaux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et à l’intégration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DE54A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…… du …… portant statut particulier du cadre d’emplois des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A622518" w14:textId="40EAD000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n°87-1101 du 30 décembre 1987 portant dispositions statutaires particulières à certains emplois administratifs de direction des communes et des établissements publics locaux assimilés,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35E210" w14:textId="77777777">
      <w:pPr>
        <w:pStyle w:val="686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82E3935" w14:textId="0B3A7A40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n°90-128 du 9 février 199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0 portant dispositions statutaires particulières aux emplois de directeur général et directeur des services techniques des communes et de directeur général des services techniques des établissements publics de coopération intercommunale à fiscalité propre,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558556" w14:textId="5D70B274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Vu le décret n°88-546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6 mai 1988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fixant la liste des établissements publics mentionnés à l’article 53 de la loi n° 84-53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26 janvier 1984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E92156" w14:textId="477AF7BD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C5CB638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B0CC10" w14:textId="1DCD6329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n°….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date du ...... portant nomination par voie de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sur l’emploi fonctionnel de …… à compter du …… pour une durée de ……,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14BDAC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E916A44" w14:textId="27C00FFF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la possibilité offerte par l’article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54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4-1 et suivants du CGFP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au maire (ou au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résident) de mettre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A66E1F" w14:textId="35A044CE">
      <w:pPr>
        <w:pStyle w:val="686"/>
        <w:pBdr/>
        <w:spacing w:after="0"/>
        <w:ind/>
        <w:jc w:val="left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préciser le(s) motif(s) de la fin de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détachement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.........................................................................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DB76AD" w14:textId="40DD965D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été invité(e) à consulter son dossier,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649566" w14:textId="1AFBFE14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été mis(e) à même de présenter utilement ses observations,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DC45FFF" w14:textId="520C658A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la fin des fonctions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été précédée d’un entretien avec l’autorité territoriale en date du 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AB93BF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la fin des fonctions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fait l’objet d’une information de l’assemblée délibérante le 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date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), et du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du CNFP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le 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date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74A1CB7" w14:textId="2311EC86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qu’un protocole d’accord a été conclu avec Mme/M ………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C71735A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D2F476" w14:textId="0DCD4F60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l’établissement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d’origine………………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indiqué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il n’existe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aucun emploi vacant correspondant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son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grade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 tableau des effectifs de la collectivité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 de l’établissement d’origine,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933562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92398C" w14:textId="5641DD7E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demande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Mme/M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bénéficier de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(préciser l’option choisi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 : reclassement, prise en charge, congé spécial ou licenciement).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008DEC" w14:textId="77777777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72445D87" w14:textId="680FBE33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6711E00B" w14:textId="77777777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43C4F7E2" w14:textId="33CCE4B5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6666C0B" w14:textId="64957D5B">
      <w:pPr>
        <w:pStyle w:val="689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au plus tôt le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premier jour du troisième mois suivant l’information de l’assemblée délibérante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), il est mis fin au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occupant l’emploi fonctionnel de …… depuis le 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31AAD02" w14:textId="77777777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524BE51F" w14:textId="116C027E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0A337C2" w14:textId="3F88BDE6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 la date mentionnée à l’article 1, Mme/M</w:t>
      </w:r>
      <w:r>
        <w:rPr>
          <w:rFonts w:ascii="Avenir Next LT Pro" w:hAnsi="Avenir Next LT Pro" w:eastAsia="Calibri" w:cs="Arial"/>
          <w:color w:val="203242"/>
        </w:rPr>
        <w:t xml:space="preserve">…….</w:t>
      </w:r>
      <w:r>
        <w:rPr>
          <w:rFonts w:ascii="Avenir Next LT Pro" w:hAnsi="Avenir Next LT Pro" w:eastAsia="Calibri" w:cs="Arial"/>
          <w:color w:val="203242"/>
        </w:rPr>
        <w:t xml:space="preserve">. …  </w:t>
      </w:r>
      <w:r>
        <w:rPr>
          <w:rFonts w:ascii="Avenir Next LT Pro" w:hAnsi="Avenir Next LT Pro" w:eastAsia="Calibri" w:cs="Arial"/>
          <w:color w:val="203242"/>
        </w:rPr>
        <w:t xml:space="preserve">a</w:t>
      </w:r>
      <w:r>
        <w:rPr>
          <w:rFonts w:ascii="Avenir Next LT Pro" w:hAnsi="Avenir Next LT Pro" w:eastAsia="Calibri" w:cs="Arial"/>
          <w:color w:val="203242"/>
        </w:rPr>
        <w:t xml:space="preserve"> informé l’autorité territoriale</w:t>
      </w:r>
      <w:r>
        <w:rPr>
          <w:rFonts w:ascii="Avenir Next LT Pro" w:hAnsi="Avenir Next LT Pro" w:eastAsia="Calibri" w:cs="Arial"/>
          <w:color w:val="203242"/>
        </w:rPr>
        <w:t xml:space="preserve"> de </w:t>
      </w:r>
      <w:r>
        <w:rPr>
          <w:rFonts w:ascii="Avenir Next LT Pro" w:hAnsi="Avenir Next LT Pro" w:eastAsia="Calibri" w:cs="Arial"/>
          <w:color w:val="203242"/>
        </w:rPr>
        <w:t xml:space="preserve">son choix entre l’une des solutions suivantes :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(préciser le choix)</w:t>
      </w:r>
      <w:r>
        <w:rPr>
          <w:rFonts w:ascii="Avenir Next LT Pro" w:hAnsi="Avenir Next LT Pro" w:eastAsia="Calibri" w:cs="Arial"/>
          <w:color w:val="203242"/>
        </w:rPr>
      </w:r>
    </w:p>
    <w:p w14:paraId="409EF0FB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C8FAF6B" w14:textId="52E831AA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Le </w:t>
      </w:r>
      <w:r>
        <w:rPr>
          <w:rFonts w:ascii="Avenir Next LT Pro" w:hAnsi="Avenir Next LT Pro" w:eastAsia="Calibri" w:cs="Arial"/>
          <w:color w:val="203242"/>
        </w:rPr>
        <w:t xml:space="preserve">reclassement et, le cas échéant, le </w:t>
      </w:r>
      <w:r>
        <w:rPr>
          <w:rFonts w:ascii="Avenir Next LT Pro" w:hAnsi="Avenir Next LT Pro" w:eastAsia="Calibri" w:cs="Arial"/>
          <w:color w:val="203242"/>
        </w:rPr>
        <w:t xml:space="preserve">maintien en surnombre pendant une année au maximum, </w:t>
      </w:r>
      <w:r>
        <w:rPr>
          <w:rFonts w:ascii="Avenir Next LT Pro" w:hAnsi="Avenir Next LT Pro" w:eastAsia="Calibri" w:cs="Arial"/>
          <w:color w:val="203242"/>
        </w:rPr>
        <w:t xml:space="preserve">avant d’être pris en charge par l’autorité de gestion</w:t>
      </w:r>
      <w:r>
        <w:rPr>
          <w:rFonts w:ascii="Avenir Next LT Pro" w:hAnsi="Avenir Next LT Pro" w:eastAsia="Calibri" w:cs="Arial"/>
          <w:color w:val="203242"/>
        </w:rPr>
        <w:t xml:space="preserve">,</w:t>
      </w:r>
      <w:r>
        <w:rPr>
          <w:rFonts w:ascii="Avenir Next LT Pro" w:hAnsi="Avenir Next LT Pro" w:eastAsia="Calibri" w:cs="Arial"/>
          <w:color w:val="203242"/>
        </w:rPr>
      </w:r>
    </w:p>
    <w:p w14:paraId="3EA63F2E" w14:textId="753EBB23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La prise en charge directe par l’autorité de gestion,</w:t>
      </w:r>
      <w:r>
        <w:rPr>
          <w:rFonts w:ascii="Avenir Next LT Pro" w:hAnsi="Avenir Next LT Pro" w:eastAsia="Calibri" w:cs="Arial"/>
          <w:color w:val="203242"/>
        </w:rPr>
      </w:r>
    </w:p>
    <w:p w14:paraId="255C0348" w14:textId="7402D79E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bCs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L’obtention d’un congé spécial de droit</w:t>
      </w:r>
      <w:r>
        <w:rPr>
          <w:rFonts w:ascii="Avenir Next LT Pro" w:hAnsi="Avenir Next LT Pro" w:eastAsia="Calibri" w:cs="Arial"/>
          <w:color w:val="203242"/>
        </w:rPr>
        <w:t xml:space="preserve">,</w:t>
      </w:r>
      <w:r>
        <w:rPr>
          <w:rFonts w:ascii="Avenir Next LT Pro" w:hAnsi="Avenir Next LT Pro" w:eastAsia="Calibri" w:cs="Arial"/>
          <w:bCs/>
          <w:color w:val="203242"/>
        </w:rPr>
      </w:r>
    </w:p>
    <w:p w14:paraId="49C3754D" w14:textId="2BE9D433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Le licenciement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208D1862" w14:textId="77777777">
      <w:pPr>
        <w:pStyle w:val="689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F19CDA9" w14:textId="77777777">
      <w:pPr>
        <w:pStyle w:val="689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B6F31B" w14:textId="653CF898">
      <w:pPr>
        <w:pStyle w:val="689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69940CD" w14:textId="77777777">
      <w:pPr>
        <w:pStyle w:val="691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Ampliation adressée au :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057EB31" w14:textId="310A3F35">
      <w:pPr>
        <w:pStyle w:val="691"/>
        <w:pBdr/>
        <w:spacing w:before="6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e74b5" w:themeColor="accent5" w:themeShade="BF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Délégué régional ou interdépartemental du C.N.F.P.T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E0F1164" w14:textId="225D1588">
      <w:pPr>
        <w:pStyle w:val="691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/établissement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31ADA7A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C8084" w14:textId="77777777">
      <w:pPr>
        <w:pStyle w:val="683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B2E14" w14:textId="77777777">
      <w:pPr>
        <w:pStyle w:val="683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1C3A535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5CA7A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559D8F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78A5EBA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60CF00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4CB530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595C79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6F20D23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EEEE542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DDE043F" w14:textId="13E987CA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 de ………………………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 dans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955B49D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3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7FEA8B4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D72FB63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F9AC7AC" w14:textId="613D7309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Symbol">
    <w:panose1 w:val="05010000000000000000"/>
  </w:font>
  <w:font w:name="Wingdings">
    <w:panose1 w:val="05010000000000000000"/>
  </w:font>
  <w:font w:name="Avenir Next LT Pro">
    <w:panose1 w:val="020B06030308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Wingdings 2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0CA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  <w:color w:val="b52d5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E0752C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Gellix Medium" w:hAnsi="Gellix Medium" w:eastAsia="Lucida Sans Unicode" w:cs="Arial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E3332AA"/>
    <w:lvl w:ilvl="0">
      <w:isLgl w:val="false"/>
      <w:lvlJc w:val="left"/>
      <w:lvlText w:val=""/>
      <w:numFmt w:val="bullet"/>
      <w:pPr>
        <w:pBdr/>
        <w:spacing/>
        <w:ind w:hanging="360" w:left="720"/>
      </w:pPr>
      <w:rPr>
        <w:rFonts w:hint="default" w:ascii="Wingdings 2" w:hAnsi="Wingdings 2"/>
        <w:color w:val="4472c4" w:themeColor="accent1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3BE460F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10767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424C24C2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  <w:color w:val="4472c4" w:themeColor="accent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7"/>
    <w:next w:val="67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7"/>
    <w:next w:val="67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7"/>
    <w:next w:val="67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7"/>
    <w:next w:val="67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7"/>
    <w:next w:val="67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7"/>
    <w:next w:val="67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7"/>
    <w:next w:val="67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7"/>
    <w:next w:val="67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7"/>
    <w:next w:val="67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7"/>
    <w:next w:val="67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7"/>
    <w:next w:val="67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7"/>
    <w:next w:val="67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7"/>
    <w:next w:val="67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8"/>
    <w:link w:val="176"/>
    <w:uiPriority w:val="99"/>
    <w:pPr>
      <w:pBdr/>
      <w:spacing/>
      <w:ind/>
    </w:pPr>
  </w:style>
  <w:style w:type="paragraph" w:styleId="178">
    <w:name w:val="Footer"/>
    <w:basedOn w:val="67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8"/>
    <w:link w:val="178"/>
    <w:uiPriority w:val="99"/>
    <w:pPr>
      <w:pBdr/>
      <w:spacing/>
      <w:ind/>
    </w:pPr>
  </w:style>
  <w:style w:type="paragraph" w:styleId="180">
    <w:name w:val="Caption"/>
    <w:basedOn w:val="677"/>
    <w:next w:val="6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7"/>
    <w:next w:val="677"/>
    <w:uiPriority w:val="39"/>
    <w:unhideWhenUsed/>
    <w:pPr>
      <w:pBdr/>
      <w:spacing w:after="100"/>
      <w:ind/>
    </w:pPr>
  </w:style>
  <w:style w:type="paragraph" w:styleId="190">
    <w:name w:val="toc 2"/>
    <w:basedOn w:val="677"/>
    <w:next w:val="677"/>
    <w:uiPriority w:val="39"/>
    <w:unhideWhenUsed/>
    <w:pPr>
      <w:pBdr/>
      <w:spacing w:after="100"/>
      <w:ind w:left="220"/>
    </w:pPr>
  </w:style>
  <w:style w:type="paragraph" w:styleId="191">
    <w:name w:val="toc 3"/>
    <w:basedOn w:val="677"/>
    <w:next w:val="677"/>
    <w:uiPriority w:val="39"/>
    <w:unhideWhenUsed/>
    <w:pPr>
      <w:pBdr/>
      <w:spacing w:after="100"/>
      <w:ind w:left="440"/>
    </w:pPr>
  </w:style>
  <w:style w:type="paragraph" w:styleId="192">
    <w:name w:val="toc 4"/>
    <w:basedOn w:val="677"/>
    <w:next w:val="677"/>
    <w:uiPriority w:val="39"/>
    <w:unhideWhenUsed/>
    <w:pPr>
      <w:pBdr/>
      <w:spacing w:after="100"/>
      <w:ind w:left="660"/>
    </w:pPr>
  </w:style>
  <w:style w:type="paragraph" w:styleId="193">
    <w:name w:val="toc 5"/>
    <w:basedOn w:val="677"/>
    <w:next w:val="677"/>
    <w:uiPriority w:val="39"/>
    <w:unhideWhenUsed/>
    <w:pPr>
      <w:pBdr/>
      <w:spacing w:after="100"/>
      <w:ind w:left="880"/>
    </w:pPr>
  </w:style>
  <w:style w:type="paragraph" w:styleId="194">
    <w:name w:val="toc 6"/>
    <w:basedOn w:val="677"/>
    <w:next w:val="677"/>
    <w:uiPriority w:val="39"/>
    <w:unhideWhenUsed/>
    <w:pPr>
      <w:pBdr/>
      <w:spacing w:after="100"/>
      <w:ind w:left="1100"/>
    </w:pPr>
  </w:style>
  <w:style w:type="paragraph" w:styleId="195">
    <w:name w:val="toc 7"/>
    <w:basedOn w:val="677"/>
    <w:next w:val="677"/>
    <w:uiPriority w:val="39"/>
    <w:unhideWhenUsed/>
    <w:pPr>
      <w:pBdr/>
      <w:spacing w:after="100"/>
      <w:ind w:left="1320"/>
    </w:pPr>
  </w:style>
  <w:style w:type="paragraph" w:styleId="196">
    <w:name w:val="toc 8"/>
    <w:basedOn w:val="677"/>
    <w:next w:val="677"/>
    <w:uiPriority w:val="39"/>
    <w:unhideWhenUsed/>
    <w:pPr>
      <w:pBdr/>
      <w:spacing w:after="100"/>
      <w:ind w:left="1540"/>
    </w:pPr>
  </w:style>
  <w:style w:type="paragraph" w:styleId="197">
    <w:name w:val="toc 9"/>
    <w:basedOn w:val="677"/>
    <w:next w:val="67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7"/>
    <w:next w:val="677"/>
    <w:uiPriority w:val="99"/>
    <w:unhideWhenUsed/>
    <w:pPr>
      <w:pBdr/>
      <w:spacing w:after="0" w:afterAutospacing="0"/>
      <w:ind/>
    </w:pPr>
  </w:style>
  <w:style w:type="paragraph" w:styleId="677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character" w:styleId="678" w:default="1">
    <w:name w:val="Default Paragraph Font"/>
    <w:uiPriority w:val="1"/>
    <w:semiHidden/>
    <w:unhideWhenUsed/>
    <w:pPr>
      <w:pBdr/>
      <w:spacing/>
      <w:ind/>
    </w:pPr>
  </w:style>
  <w:style w:type="table" w:styleId="6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 w:default="1">
    <w:name w:val="No List"/>
    <w:uiPriority w:val="99"/>
    <w:semiHidden/>
    <w:unhideWhenUsed/>
    <w:pPr>
      <w:pBdr/>
      <w:spacing/>
      <w:ind/>
    </w:pPr>
  </w:style>
  <w:style w:type="paragraph" w:styleId="681">
    <w:name w:val="Body Text"/>
    <w:basedOn w:val="677"/>
    <w:link w:val="682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682" w:customStyle="1">
    <w:name w:val="Corps de texte Car"/>
    <w:basedOn w:val="678"/>
    <w:link w:val="681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683">
    <w:name w:val="Signature"/>
    <w:basedOn w:val="677"/>
    <w:link w:val="684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684" w:customStyle="1">
    <w:name w:val="Signature Car"/>
    <w:basedOn w:val="678"/>
    <w:link w:val="683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685" w:customStyle="1">
    <w:name w:val="intitulé de l'arrêté"/>
    <w:basedOn w:val="677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686" w:customStyle="1">
    <w:name w:val="Vu.Considérant"/>
    <w:basedOn w:val="677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687" w:customStyle="1">
    <w:name w:val="&quot;arrête&quot;"/>
    <w:basedOn w:val="686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688" w:customStyle="1">
    <w:name w:val="article : n°"/>
    <w:basedOn w:val="686"/>
    <w:pPr>
      <w:pBdr/>
      <w:spacing w:after="0" w:before="100"/>
      <w:ind/>
    </w:pPr>
    <w:rPr>
      <w:b/>
      <w:bCs/>
    </w:rPr>
  </w:style>
  <w:style w:type="paragraph" w:styleId="689" w:customStyle="1">
    <w:name w:val="article : contenu"/>
    <w:basedOn w:val="686"/>
    <w:pPr>
      <w:pBdr/>
      <w:spacing/>
      <w:ind w:firstLine="567"/>
    </w:pPr>
  </w:style>
  <w:style w:type="paragraph" w:styleId="690" w:customStyle="1">
    <w:name w:val="recours"/>
    <w:basedOn w:val="689"/>
    <w:pPr>
      <w:pBdr/>
      <w:spacing w:after="0"/>
      <w:ind w:right="6095" w:firstLine="0" w:left="284"/>
    </w:pPr>
    <w:rPr>
      <w:sz w:val="16"/>
      <w:szCs w:val="16"/>
    </w:rPr>
  </w:style>
  <w:style w:type="paragraph" w:styleId="691" w:customStyle="1">
    <w:name w:val="notifié à"/>
    <w:basedOn w:val="689"/>
    <w:pPr>
      <w:pBdr/>
      <w:spacing w:after="0"/>
      <w:ind w:firstLine="0" w:left="567"/>
    </w:pPr>
  </w:style>
  <w:style w:type="character" w:styleId="692">
    <w:name w:val="annotation reference"/>
    <w:basedOn w:val="67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3" w:customStyle="1">
    <w:name w:val="texte Nacoopé"/>
    <w:basedOn w:val="677"/>
    <w:link w:val="694"/>
    <w:qFormat/>
    <w:pPr>
      <w:pBdr/>
      <w:spacing w:after="0"/>
      <w:ind/>
      <w:jc w:val="both"/>
    </w:pPr>
    <w:rPr>
      <w:rFonts w:ascii="Avenir Next LT Pro" w:hAnsi="Avenir Next LT Pro" w:cs="Arial"/>
      <w:color w:val="203242"/>
    </w:rPr>
  </w:style>
  <w:style w:type="character" w:styleId="694" w:customStyle="1">
    <w:name w:val="texte Nacoopé Car"/>
    <w:basedOn w:val="678"/>
    <w:link w:val="693"/>
    <w:pPr>
      <w:pBdr/>
      <w:spacing/>
      <w:ind/>
    </w:pPr>
    <w:rPr>
      <w:rFonts w:ascii="Avenir Next LT Pro" w:hAnsi="Avenir Next LT Pro" w:cs="Arial"/>
      <w:color w:val="203242"/>
    </w:rPr>
  </w:style>
  <w:style w:type="character" w:styleId="695">
    <w:name w:val="Hyperlink"/>
    <w:basedOn w:val="678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696">
    <w:name w:val="Table Grid"/>
    <w:basedOn w:val="67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2026-04-07T22:00:00+00:00</Date_x0020_de_x0020_publication>
    <Tag xmlns="6fe09545-cdc4-43a9-9da5-abd37ca73394">Détachement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Emploi de direction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B5B25-1887-44FB-97F4-67CE765E75E7}"/>
</file>

<file path=customXml/itemProps2.xml><?xml version="1.0" encoding="utf-8"?>
<ds:datastoreItem xmlns:ds="http://schemas.openxmlformats.org/officeDocument/2006/customXml" ds:itemID="{51FA08F6-3442-4A57-BCA5-C7EC45CE0B9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C00EDA9E-5C32-4B4D-99B5-5ED0E124F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FCE55-6BB7-4572-A8A4-302ECBB34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fin de détachement sur emploi fonctionnel - collectivité d'accueil </dc:title>
  <dc:subject/>
  <dc:creator>Yann VASSEAU</dc:creator>
  <cp:keywords/>
  <dc:description/>
  <cp:lastModifiedBy>Utilisateur</cp:lastModifiedBy>
  <cp:revision>11</cp:revision>
  <dcterms:created xsi:type="dcterms:W3CDTF">2026-03-30T08:16:00Z</dcterms:created>
  <dcterms:modified xsi:type="dcterms:W3CDTF">2026-04-08T13:41:02Z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ypeOfPublication">
    <vt:lpwstr>48;#Privé|9d61055b-725b-4297-9a77-8c5caa518546</vt:lpwstr>
  </property>
  <property fmtid="{D5CDD505-2E9C-101B-9397-08002B2CF9AE}" pid="12" name="DMS_Tag">
    <vt:lpwstr/>
  </property>
</Properties>
</file>