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585C1737" w14:textId="77777777">
      <w:pPr>
        <w:keepNext w:val="true"/>
        <w:widowControl w:val="false"/>
        <w:pBdr/>
        <w:spacing w:after="0" w:line="240" w:lineRule="auto"/>
        <w:ind/>
        <w:jc w:val="center"/>
        <w:outlineLvl w:val="0"/>
        <w:rPr>
          <w:rFonts w:ascii="Gellix Medium" w:hAnsi="Gellix Medium" w:eastAsia="Times New Roman" w:cs="Times New Roman"/>
          <w:b/>
          <w:color w:val="b52d51"/>
          <w:sz w:val="28"/>
          <w:u w:val="single"/>
        </w:rPr>
      </w:pPr>
      <w:r>
        <w:rPr>
          <w:rFonts w:ascii="Gellix Medium" w:hAnsi="Gellix Medium" w:eastAsia="Times New Roman" w:cs="Times New Roman"/>
          <w:b/>
          <w:color w:val="b52d51"/>
          <w:sz w:val="28"/>
          <w:u w:val="single"/>
        </w:rPr>
      </w:r>
      <w:r>
        <w:rPr>
          <w:rFonts w:ascii="Gellix Medium" w:hAnsi="Gellix Medium" w:eastAsia="Times New Roman" w:cs="Times New Roman"/>
          <w:b/>
          <w:color w:val="b52d51"/>
          <w:sz w:val="28"/>
          <w:u w:val="single"/>
        </w:rPr>
      </w:r>
    </w:p>
    <w:p w14:paraId="585C1738" w14:textId="77777777">
      <w:pPr>
        <w:keepNext w:val="true"/>
        <w:widowControl w:val="false"/>
        <w:pBdr/>
        <w:spacing w:after="0" w:line="240" w:lineRule="auto"/>
        <w:ind/>
        <w:jc w:val="center"/>
        <w:outlineLvl w:val="0"/>
        <w:rPr>
          <w:rFonts w:ascii="Gellix Medium" w:hAnsi="Gellix Medium" w:eastAsia="Times New Roman" w:cs="Times New Roman"/>
          <w:b/>
          <w:color w:val="b52d51"/>
          <w:sz w:val="28"/>
          <w:u w:val="single"/>
        </w:rPr>
      </w:pPr>
      <w:r>
        <w:rPr>
          <w:rFonts w:ascii="Gellix Medium" w:hAnsi="Gellix Medium" w:eastAsia="Times New Roman" w:cs="Times New Roman"/>
          <w:b/>
          <w:color w:val="b52d51"/>
          <w:sz w:val="28"/>
          <w:u w:val="single"/>
        </w:rPr>
        <w:t xml:space="preserve">MODELE DE DELIBERATION INSTITUANT UNE INDEMNITE FORFAITAIRE COMPLEMENTAIRE POUR ELECTIONS (IFCE)</w:t>
      </w:r>
      <w:r>
        <w:rPr>
          <w:rFonts w:ascii="Gellix Medium" w:hAnsi="Gellix Medium" w:eastAsia="Times New Roman" w:cs="Times New Roman"/>
          <w:b/>
          <w:color w:val="b52d51"/>
          <w:sz w:val="28"/>
          <w:u w:val="single"/>
        </w:rPr>
      </w:r>
    </w:p>
    <w:p w14:paraId="585C1739" w14:textId="77777777"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</w:rPr>
      </w:pPr>
      <w:r>
        <w:rPr>
          <w:rFonts w:ascii="Avenir Next LT Pro" w:hAnsi="Avenir Next LT Pro" w:eastAsia="Times New Roman" w:cs="Times New Roman"/>
        </w:rPr>
      </w:r>
      <w:r>
        <w:rPr>
          <w:rFonts w:ascii="Avenir Next LT Pro" w:hAnsi="Avenir Next LT Pro" w:eastAsia="Times New Roman" w:cs="Times New Roman"/>
        </w:rPr>
      </w:r>
    </w:p>
    <w:p w14:paraId="585C173A" w14:textId="77777777"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 w14:paraId="585C173B" w14:textId="77777777"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  <w:t xml:space="preserve">Le Conseil Municipal, </w:t>
      </w:r>
      <w:r>
        <w:rPr>
          <w:rFonts w:ascii="Avenir Next LT Pro" w:hAnsi="Avenir Next LT Pro" w:eastAsia="Times New Roman" w:cs="Times New Roman"/>
          <w:color w:val="203242"/>
        </w:rPr>
      </w:r>
    </w:p>
    <w:p w14:paraId="585C173C" w14:textId="77777777"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 w14:paraId="585C173D" w14:textId="77777777"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  <w:t xml:space="preserve">Sur le rapport de (</w:t>
      </w:r>
      <w:r>
        <w:rPr>
          <w:rFonts w:ascii="Avenir Next LT Pro" w:hAnsi="Avenir Next LT Pro" w:eastAsia="Times New Roman" w:cs="Times New Roman"/>
          <w:i/>
          <w:iCs/>
          <w:color w:val="4f81bd"/>
        </w:rPr>
        <w:t xml:space="preserve">Monsieur ou Madame</w:t>
      </w:r>
      <w:r>
        <w:rPr>
          <w:rFonts w:ascii="Avenir Next LT Pro" w:hAnsi="Avenir Next LT Pro" w:eastAsia="Times New Roman" w:cs="Times New Roman"/>
          <w:color w:val="203242"/>
        </w:rPr>
        <w:t xml:space="preserve">)</w:t>
      </w:r>
      <w:r>
        <w:rPr>
          <w:rFonts w:ascii="Avenir Next LT Pro" w:hAnsi="Avenir Next LT Pro" w:eastAsia="Times New Roman" w:cs="Times New Roman"/>
          <w:color w:val="4f81bd"/>
        </w:rPr>
        <w:t xml:space="preserve"> </w:t>
      </w:r>
      <w:r>
        <w:rPr>
          <w:rFonts w:ascii="Avenir Next LT Pro" w:hAnsi="Avenir Next LT Pro" w:eastAsia="Times New Roman" w:cs="Times New Roman"/>
          <w:color w:val="203242"/>
        </w:rPr>
        <w:t xml:space="preserve">le Maire,</w:t>
      </w:r>
      <w:r>
        <w:t xml:space="preserve"> </w:t>
      </w:r>
      <w:r>
        <w:rPr>
          <w:rFonts w:ascii="Avenir Next LT Pro" w:hAnsi="Avenir Next LT Pro" w:eastAsia="Times New Roman" w:cs="Times New Roman"/>
          <w:color w:val="203242"/>
        </w:rPr>
        <w:t xml:space="preserve">après en avoir délibéré et à la majorité de ses membres présents ou représentés,</w:t>
      </w:r>
      <w:r>
        <w:rPr>
          <w:rFonts w:ascii="Avenir Next LT Pro" w:hAnsi="Avenir Next LT Pro" w:eastAsia="Times New Roman" w:cs="Times New Roman"/>
          <w:color w:val="203242"/>
        </w:rPr>
      </w:r>
    </w:p>
    <w:p w14:paraId="585C173E" w14:textId="77777777"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 w14:paraId="585C173F" w14:textId="77777777"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  <w:t xml:space="preserve">VU le Code Général de la Fonction Publique, notamment ses articles L. 712-1, L.714-4 à L. 714-13,</w:t>
      </w:r>
      <w:r>
        <w:rPr>
          <w:rFonts w:ascii="Avenir Next LT Pro" w:hAnsi="Avenir Next LT Pro" w:eastAsia="Times New Roman" w:cs="Times New Roman"/>
          <w:color w:val="203242"/>
        </w:rPr>
      </w:r>
    </w:p>
    <w:p w14:paraId="585C1740" w14:textId="77777777"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  <w:t xml:space="preserve">VU le décret n° 91-875 du 6 septembre 1991 pris pour l'application de l'article L. 714-4 du Code Général de la Fonction Publique,</w:t>
      </w:r>
      <w:r>
        <w:rPr>
          <w:rFonts w:ascii="Avenir Next LT Pro" w:hAnsi="Avenir Next LT Pro" w:eastAsia="Times New Roman" w:cs="Times New Roman"/>
          <w:color w:val="203242"/>
        </w:rPr>
      </w:r>
    </w:p>
    <w:p w14:paraId="585C1741" w14:textId="77777777"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  <w:t xml:space="preserve">VU le décret n°2002-63 du 14 janvier 2002 modifié relatif à l’indemnité forfaitaire pour travaux supplémentaires des services déconcentrés,</w:t>
      </w:r>
      <w:r>
        <w:rPr>
          <w:rFonts w:ascii="Avenir Next LT Pro" w:hAnsi="Avenir Next LT Pro" w:eastAsia="Times New Roman" w:cs="Times New Roman"/>
          <w:color w:val="203242"/>
        </w:rPr>
      </w:r>
    </w:p>
    <w:p w14:paraId="585C1742" w14:textId="77777777"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  <w:t xml:space="preserve">VU l'arrêté ministériel du 27 février 1962 modifié fixant le régime des indemnités forfaitaires pour travaux supplémentaires susceptibles d'être accordées à certains personnels communaux, notamment son article 5,</w:t>
      </w:r>
      <w:r>
        <w:rPr>
          <w:rFonts w:ascii="Avenir Next LT Pro" w:hAnsi="Avenir Next LT Pro" w:eastAsia="Times New Roman" w:cs="Times New Roman"/>
          <w:color w:val="203242"/>
        </w:rPr>
      </w:r>
    </w:p>
    <w:p w14:paraId="585C1743" w14:textId="77777777"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  <w:t xml:space="preserve">VU l’arrêté ministériel du 12 mai 2014 fixant les montants moyens annuels de l'indemnité forfaitaire pour travaux supplémentaires des services déconcentrés, </w:t>
      </w:r>
      <w:r>
        <w:rPr>
          <w:rFonts w:ascii="Avenir Next LT Pro" w:hAnsi="Avenir Next LT Pro" w:eastAsia="Times New Roman" w:cs="Times New Roman"/>
          <w:color w:val="203242"/>
        </w:rPr>
      </w:r>
    </w:p>
    <w:p w14:paraId="585C1744" w14:textId="77777777"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  <w:t xml:space="preserve">Vu la circulaire ministérielle du 11 octobre 2002 (DGCL-FPT3/2002/N.377) </w:t>
      </w:r>
      <w:r>
        <w:rPr>
          <w:rFonts w:ascii="Avenir Next LT Pro" w:hAnsi="Avenir Next LT Pro" w:eastAsia="Times New Roman" w:cs="Times New Roman"/>
          <w:color w:val="203242"/>
        </w:rPr>
      </w:r>
    </w:p>
    <w:p w14:paraId="585C1745" w14:textId="77777777"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 w14:paraId="585C1746" w14:textId="77777777"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  <w:t xml:space="preserve">VU l’avis du Comité Social Territorial en date du………………</w:t>
      </w:r>
      <w:r>
        <w:rPr>
          <w:rFonts w:ascii="Avenir Next LT Pro" w:hAnsi="Avenir Next LT Pro" w:eastAsia="Times New Roman" w:cs="Times New Roman"/>
          <w:color w:val="203242"/>
        </w:rPr>
      </w:r>
    </w:p>
    <w:p w14:paraId="585C1747" w14:textId="77777777"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  <w:t xml:space="preserve">VU les crédits inscrits au budget, </w:t>
      </w:r>
      <w:r>
        <w:rPr>
          <w:rFonts w:ascii="Avenir Next LT Pro" w:hAnsi="Avenir Next LT Pro" w:eastAsia="Times New Roman" w:cs="Times New Roman"/>
          <w:color w:val="203242"/>
        </w:rPr>
      </w:r>
    </w:p>
    <w:p w14:paraId="585C1748" w14:textId="77777777"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 w14:paraId="585C1749" w14:textId="77777777"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  <w:t xml:space="preserve">Le Maire présente au Conseil Municipal le projet de mise en place de l’Indemnité Forfaitaire Complémentaire pour Élections (IFCE)</w:t>
      </w:r>
      <w:r>
        <w:rPr>
          <w:rFonts w:ascii="Roboto" w:hAnsi="Roboto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venir Next LT Pro" w:hAnsi="Avenir Next LT Pro" w:eastAsia="Times New Roman" w:cs="Times New Roman"/>
          <w:color w:val="203242"/>
        </w:rPr>
        <w:t xml:space="preserve">prévue par l’arrêté ministériel du 27 février 1962. </w:t>
      </w:r>
      <w:r>
        <w:rPr>
          <w:rFonts w:ascii="Avenir Next LT Pro" w:hAnsi="Avenir Next LT Pro" w:eastAsia="Times New Roman" w:cs="Times New Roman"/>
          <w:color w:val="203242"/>
        </w:rPr>
      </w:r>
    </w:p>
    <w:p w14:paraId="585C174A" w14:textId="77777777"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 w14:paraId="585C174B" w14:textId="77777777"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  <w:t xml:space="preserve">Cette indemnité peut être versée au profit des agents communaux accomplissant des travaux supplémentaires</w:t>
      </w:r>
      <w:r>
        <w:rPr>
          <w:rFonts w:ascii="Avenir Next LT Pro" w:hAnsi="Avenir Next LT Pro" w:eastAsia="Times New Roman" w:cs="Times New Roman"/>
          <w:color w:val="203242"/>
        </w:rPr>
        <w:t xml:space="preserve">, en dehors des heures normales de service, à l’occasion d’une consultation électorale visée par l’article 5 de l’arrêté du 27 février 1962 et qui ne peuvent bénéficier des Indemnités Horaires pour Travaux Supplémentaires (IHTS) ou d’un repos compensateur.</w:t>
      </w:r>
      <w:r>
        <w:rPr>
          <w:rFonts w:ascii="Avenir Next LT Pro" w:hAnsi="Avenir Next LT Pro" w:eastAsia="Times New Roman" w:cs="Times New Roman"/>
          <w:color w:val="203242"/>
        </w:rPr>
      </w:r>
    </w:p>
    <w:p w14:paraId="585C174C" w14:textId="77777777"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 w14:paraId="585C174D" w14:textId="77777777"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  <w:t xml:space="preserve">Le mode de calcul, fixé par l’arrêté ministériel du 27 février 1962, est le suivant :</w:t>
      </w:r>
      <w:r>
        <w:rPr>
          <w:rFonts w:ascii="Avenir Next LT Pro" w:hAnsi="Avenir Next LT Pro" w:eastAsia="Times New Roman" w:cs="Times New Roman"/>
          <w:color w:val="203242"/>
        </w:rPr>
      </w:r>
    </w:p>
    <w:p w14:paraId="585C174E" w14:textId="77777777"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 w14:paraId="585C174F" w14:textId="52428BE4">
      <w:pPr>
        <w:pStyle w:val="926"/>
        <w:numPr>
          <w:ilvl w:val="0"/>
          <w:numId w:val="9"/>
        </w:numPr>
        <w:pBdr/>
        <w:spacing/>
        <w:ind/>
        <w:jc w:val="both"/>
        <w:rPr>
          <w:rFonts w:ascii="Avenir Next LT Pro" w:hAnsi="Avenir Next LT Pro"/>
          <w:b/>
          <w:bCs/>
          <w:color w:val="b52d51"/>
          <w:lang w:eastAsia="fr-FR"/>
        </w:rPr>
      </w:pPr>
      <w:r>
        <w:rPr>
          <w:rFonts w:ascii="Avenir Next LT Pro" w:hAnsi="Avenir Next LT Pro"/>
          <w:b/>
          <w:bCs/>
          <w:color w:val="b52d51"/>
          <w:lang w:eastAsia="fr-FR"/>
        </w:rPr>
        <w:t xml:space="preserve">ELECTIONS PRESIDENTIELLES, LEGISLATIVES, REGIONALES, </w:t>
      </w:r>
      <w:r>
        <w:rPr>
          <w:rFonts w:ascii="Avenir Next LT Pro" w:hAnsi="Avenir Next LT Pro"/>
          <w:b/>
          <w:bCs/>
          <w:color w:val="b52d51"/>
          <w:lang w:eastAsia="fr-FR"/>
        </w:rPr>
        <w:t xml:space="preserve">DEPARTEMENTALES</w:t>
      </w:r>
      <w:r>
        <w:rPr>
          <w:rFonts w:ascii="Avenir Next LT Pro" w:hAnsi="Avenir Next LT Pro"/>
          <w:b/>
          <w:bCs/>
          <w:color w:val="b52d51"/>
          <w:lang w:eastAsia="fr-FR"/>
        </w:rPr>
        <w:t xml:space="preserve">, MUNICIPALES, CONSULTATIONS PAR VOIE DE REFERENDUM, ELECTION DU PARLEMENT EUROPEEN</w:t>
      </w:r>
      <w:r>
        <w:rPr>
          <w:rFonts w:ascii="Avenir Next LT Pro" w:hAnsi="Avenir Next LT Pro"/>
          <w:b/>
          <w:bCs/>
          <w:color w:val="b52d51"/>
          <w:lang w:eastAsia="fr-FR"/>
        </w:rPr>
      </w:r>
    </w:p>
    <w:p w14:paraId="585C1750" w14:textId="56272E47">
      <w:pPr>
        <w:pBdr/>
        <w:spacing/>
        <w:ind/>
        <w:jc w:val="both"/>
        <w:rPr>
          <w:rFonts w:ascii="Avenir Next LT Pro" w:hAnsi="Avenir Next LT Pro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  <w:t xml:space="preserve">L’IFCE</w:t>
      </w:r>
      <w:r>
        <w:rPr>
          <w:rFonts w:ascii="Avenir Next LT Pro" w:hAnsi="Avenir Next LT Pro" w:eastAsia="Times New Roman" w:cs="Times New Roman"/>
          <w:color w:val="203242"/>
        </w:rPr>
        <w:t xml:space="preserve"> </w:t>
      </w:r>
      <w:r>
        <w:rPr>
          <w:rFonts w:ascii="Avenir Next LT Pro" w:hAnsi="Avenir Next LT Pro"/>
          <w:color w:val="203242"/>
          <w:lang w:eastAsia="fr-FR"/>
        </w:rPr>
        <w:t xml:space="preserve">est allouée dans </w:t>
      </w:r>
      <w:r>
        <w:rPr>
          <w:rFonts w:ascii="Avenir Next LT Pro" w:hAnsi="Avenir Next LT Pro"/>
          <w:b/>
          <w:bCs/>
          <w:color w:val="203242"/>
          <w:u w:val="single"/>
          <w:lang w:eastAsia="fr-FR"/>
        </w:rPr>
        <w:t xml:space="preserve">la double limite</w:t>
      </w:r>
      <w:r>
        <w:rPr>
          <w:rFonts w:ascii="Avenir Next LT Pro" w:hAnsi="Avenir Next LT Pro"/>
          <w:color w:val="203242"/>
          <w:lang w:eastAsia="fr-FR"/>
        </w:rPr>
        <w:t xml:space="preserve"> :</w:t>
      </w:r>
      <w:r>
        <w:rPr>
          <w:rFonts w:ascii="Avenir Next LT Pro" w:hAnsi="Avenir Next LT Pro"/>
          <w:color w:val="203242"/>
        </w:rPr>
      </w:r>
    </w:p>
    <w:p w14:paraId="585C1751" w14:textId="5DFD8DA2">
      <w:pPr>
        <w:pStyle w:val="926"/>
        <w:numPr>
          <w:ilvl w:val="0"/>
          <w:numId w:val="8"/>
        </w:numPr>
        <w:pBdr/>
        <w:spacing/>
        <w:ind/>
        <w:jc w:val="both"/>
        <w:rPr>
          <w:rFonts w:ascii="Avenir Next LT Pro" w:hAnsi="Avenir Next LT Pro"/>
          <w:color w:val="203242"/>
        </w:rPr>
      </w:pPr>
      <w:r>
        <w:rPr>
          <w:rFonts w:ascii="Avenir Next LT Pro" w:hAnsi="Avenir Next LT Pro"/>
          <w:color w:val="203242"/>
          <w:lang w:eastAsia="fr-FR"/>
        </w:rPr>
        <w:t xml:space="preserve">D'un </w:t>
      </w:r>
      <w:r>
        <w:rPr>
          <w:rFonts w:ascii="Avenir Next LT Pro" w:hAnsi="Avenir Next LT Pro"/>
          <w:b/>
          <w:bCs/>
          <w:color w:val="203242"/>
          <w:lang w:eastAsia="fr-FR"/>
        </w:rPr>
        <w:t xml:space="preserve">crédit global affecté au budget</w:t>
      </w:r>
      <w:r>
        <w:rPr>
          <w:rFonts w:ascii="Avenir Next LT Pro" w:hAnsi="Avenir Next LT Pro"/>
          <w:color w:val="203242"/>
          <w:lang w:eastAsia="fr-FR"/>
        </w:rPr>
        <w:t xml:space="preserve"> obtenu en multipliant la valeur maximum de l'indemnité forfaitaire mensuelle pour travaux supplémentaires des attachés territoriaux par le nombre de bénéficiaires ;</w:t>
      </w:r>
      <w:r>
        <w:rPr>
          <w:rFonts w:ascii="Avenir Next LT Pro" w:hAnsi="Avenir Next LT Pro"/>
          <w:color w:val="203242"/>
        </w:rPr>
      </w:r>
    </w:p>
    <w:p w14:paraId="585C1752" w14:textId="77777777">
      <w:pPr>
        <w:pStyle w:val="926"/>
        <w:pBdr/>
        <w:spacing/>
        <w:ind/>
        <w:jc w:val="both"/>
        <w:rPr>
          <w:rFonts w:ascii="Avenir Next LT Pro" w:hAnsi="Avenir Next LT Pro"/>
          <w:color w:val="203242"/>
        </w:rPr>
      </w:pPr>
      <w:r>
        <w:rPr>
          <w:rFonts w:ascii="Avenir Next LT Pro" w:hAnsi="Avenir Next LT Pro"/>
          <w:color w:val="203242"/>
        </w:rPr>
      </w:r>
      <w:r>
        <w:rPr>
          <w:rFonts w:ascii="Avenir Next LT Pro" w:hAnsi="Avenir Next LT Pro"/>
          <w:color w:val="203242"/>
        </w:rPr>
      </w:r>
    </w:p>
    <w:p w14:paraId="585C1754" w14:textId="4D20C1E0">
      <w:pPr>
        <w:pStyle w:val="926"/>
        <w:numPr>
          <w:ilvl w:val="0"/>
          <w:numId w:val="8"/>
        </w:numPr>
        <w:pBdr/>
        <w:spacing/>
        <w:ind/>
        <w:jc w:val="both"/>
        <w:rPr>
          <w:rFonts w:ascii="Avenir Next LT Pro" w:hAnsi="Avenir Next LT Pro"/>
          <w:color w:val="203242"/>
        </w:rPr>
      </w:pPr>
      <w:r>
        <w:rPr>
          <w:rFonts w:ascii="Avenir Next LT Pro" w:hAnsi="Avenir Next LT Pro"/>
          <w:color w:val="203242"/>
          <w:lang w:eastAsia="fr-FR"/>
        </w:rPr>
        <w:t xml:space="preserve">D'une </w:t>
      </w:r>
      <w:r>
        <w:rPr>
          <w:rFonts w:ascii="Avenir Next LT Pro" w:hAnsi="Avenir Next LT Pro"/>
          <w:b/>
          <w:bCs/>
          <w:color w:val="203242"/>
          <w:lang w:eastAsia="fr-FR"/>
        </w:rPr>
        <w:t xml:space="preserve">somme individuelle</w:t>
      </w:r>
      <w:r>
        <w:rPr>
          <w:rFonts w:ascii="Avenir Next LT Pro" w:hAnsi="Avenir Next LT Pro"/>
          <w:color w:val="203242"/>
          <w:lang w:eastAsia="fr-FR"/>
        </w:rPr>
        <w:t xml:space="preserve"> au plus égale au quart de l'indemnité forfaitaire annuelle maximum des attachés territoriaux</w:t>
      </w:r>
      <w:r>
        <w:rPr>
          <w:rFonts w:ascii="Avenir Next LT Pro" w:hAnsi="Avenir Next LT Pro"/>
          <w:color w:val="203242"/>
          <w:lang w:eastAsia="fr-FR"/>
        </w:rPr>
        <w:t xml:space="preserve">.</w:t>
      </w:r>
      <w:r>
        <w:rPr>
          <w:rFonts w:ascii="Avenir Next LT Pro" w:hAnsi="Avenir Next LT Pro"/>
          <w:color w:val="203242"/>
        </w:rPr>
      </w:r>
    </w:p>
    <w:p w14:paraId="2040D8D7" w14:textId="77777777"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 w14:paraId="585C1755" w14:textId="77777777">
      <w:pPr>
        <w:pStyle w:val="926"/>
        <w:numPr>
          <w:ilvl w:val="0"/>
          <w:numId w:val="9"/>
        </w:numPr>
        <w:pBdr/>
        <w:spacing/>
        <w:ind/>
        <w:jc w:val="both"/>
        <w:rPr>
          <w:rFonts w:ascii="Avenir Next LT Pro" w:hAnsi="Avenir Next LT Pro"/>
          <w:b/>
          <w:bCs/>
          <w:color w:val="b52d51"/>
        </w:rPr>
      </w:pPr>
      <w:r>
        <w:rPr>
          <w:rFonts w:ascii="Avenir Next LT Pro" w:hAnsi="Avenir Next LT Pro"/>
          <w:b/>
          <w:bCs/>
          <w:color w:val="b52d51"/>
          <w:lang w:eastAsia="fr-FR"/>
        </w:rPr>
        <w:t xml:space="preserve">AUTRES CONSULTATIONS ELECTORALES</w:t>
      </w:r>
      <w:r>
        <w:rPr>
          <w:rFonts w:ascii="Avenir Next LT Pro" w:hAnsi="Avenir Next LT Pro"/>
          <w:b/>
          <w:bCs/>
          <w:color w:val="b52d51"/>
        </w:rPr>
      </w:r>
    </w:p>
    <w:p w14:paraId="585C1756" w14:textId="3A0D1E20">
      <w:pPr>
        <w:pBdr/>
        <w:spacing/>
        <w:ind/>
        <w:jc w:val="both"/>
        <w:rPr>
          <w:rFonts w:ascii="Avenir Next LT Pro" w:hAnsi="Avenir Next LT Pro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  <w:t xml:space="preserve">L’IFCE</w:t>
      </w:r>
      <w:r>
        <w:rPr>
          <w:rFonts w:ascii="Avenir Next LT Pro" w:hAnsi="Avenir Next LT Pro" w:eastAsia="Times New Roman" w:cs="Times New Roman"/>
          <w:color w:val="203242"/>
        </w:rPr>
        <w:t xml:space="preserve"> </w:t>
      </w:r>
      <w:r>
        <w:rPr>
          <w:rFonts w:ascii="Avenir Next LT Pro" w:hAnsi="Avenir Next LT Pro"/>
          <w:color w:val="203242"/>
          <w:lang w:eastAsia="fr-FR"/>
        </w:rPr>
        <w:t xml:space="preserve">est allouée dans </w:t>
      </w:r>
      <w:r>
        <w:rPr>
          <w:rFonts w:ascii="Avenir Next LT Pro" w:hAnsi="Avenir Next LT Pro"/>
          <w:b/>
          <w:bCs/>
          <w:color w:val="203242"/>
          <w:u w:val="single"/>
          <w:lang w:eastAsia="fr-FR"/>
        </w:rPr>
        <w:t xml:space="preserve">la double limite</w:t>
      </w:r>
      <w:r>
        <w:rPr>
          <w:rFonts w:ascii="Avenir Next LT Pro" w:hAnsi="Avenir Next LT Pro"/>
          <w:color w:val="203242"/>
          <w:lang w:eastAsia="fr-FR"/>
        </w:rPr>
        <w:t xml:space="preserve"> :</w:t>
      </w:r>
      <w:r>
        <w:rPr>
          <w:rFonts w:ascii="Avenir Next LT Pro" w:hAnsi="Avenir Next LT Pro"/>
          <w:color w:val="203242"/>
        </w:rPr>
      </w:r>
    </w:p>
    <w:p w14:paraId="585C1757" w14:textId="25E37253">
      <w:pPr>
        <w:pStyle w:val="926"/>
        <w:numPr>
          <w:ilvl w:val="0"/>
          <w:numId w:val="8"/>
        </w:numPr>
        <w:pBdr/>
        <w:spacing/>
        <w:ind/>
        <w:jc w:val="both"/>
        <w:rPr>
          <w:rFonts w:ascii="Avenir Next LT Pro" w:hAnsi="Avenir Next LT Pro"/>
          <w:color w:val="203242"/>
          <w:lang w:eastAsia="fr-FR"/>
        </w:rPr>
      </w:pPr>
      <w:r>
        <w:rPr>
          <w:rFonts w:ascii="Avenir Next LT Pro" w:hAnsi="Avenir Next LT Pro"/>
          <w:color w:val="203242"/>
          <w:lang w:eastAsia="fr-FR"/>
        </w:rPr>
        <w:t xml:space="preserve">D'un </w:t>
      </w:r>
      <w:r>
        <w:rPr>
          <w:rFonts w:ascii="Avenir Next LT Pro" w:hAnsi="Avenir Next LT Pro"/>
          <w:b/>
          <w:bCs/>
          <w:color w:val="203242"/>
          <w:lang w:eastAsia="fr-FR"/>
        </w:rPr>
        <w:t xml:space="preserve">crédit global</w:t>
      </w:r>
      <w:r>
        <w:rPr>
          <w:rFonts w:ascii="Avenir Next LT Pro" w:hAnsi="Avenir Next LT Pro"/>
          <w:color w:val="203242"/>
          <w:lang w:eastAsia="fr-FR"/>
        </w:rPr>
        <w:t xml:space="preserve"> obtenu en multipliant le trente-sixième de la valeur maximum annuelle de l'indemnité forfaitaire pour travaux supplémentaires des attachés territoriaux par le nombre de bénéficiaires ;</w:t>
      </w:r>
      <w:r>
        <w:rPr>
          <w:rFonts w:ascii="Avenir Next LT Pro" w:hAnsi="Avenir Next LT Pro"/>
          <w:color w:val="203242"/>
          <w:lang w:eastAsia="fr-FR"/>
        </w:rPr>
      </w:r>
    </w:p>
    <w:p w14:paraId="585C1758" w14:textId="44155BAF">
      <w:pPr>
        <w:pStyle w:val="926"/>
        <w:numPr>
          <w:ilvl w:val="0"/>
          <w:numId w:val="8"/>
        </w:numPr>
        <w:pBdr/>
        <w:spacing/>
        <w:ind/>
        <w:jc w:val="both"/>
        <w:rPr>
          <w:rFonts w:ascii="Avenir Next LT Pro" w:hAnsi="Avenir Next LT Pro"/>
          <w:color w:val="203242"/>
          <w:lang w:eastAsia="fr-FR"/>
        </w:rPr>
      </w:pPr>
      <w:r>
        <w:rPr>
          <w:rFonts w:ascii="Avenir Next LT Pro" w:hAnsi="Avenir Next LT Pro"/>
          <w:color w:val="203242"/>
          <w:lang w:eastAsia="fr-FR"/>
        </w:rPr>
        <w:t xml:space="preserve">D'une </w:t>
      </w:r>
      <w:r>
        <w:rPr>
          <w:rFonts w:ascii="Avenir Next LT Pro" w:hAnsi="Avenir Next LT Pro"/>
          <w:b/>
          <w:bCs/>
          <w:color w:val="203242"/>
          <w:lang w:eastAsia="fr-FR"/>
        </w:rPr>
        <w:t xml:space="preserve">somme individuelle</w:t>
      </w:r>
      <w:r>
        <w:rPr>
          <w:rFonts w:ascii="Avenir Next LT Pro" w:hAnsi="Avenir Next LT Pro"/>
          <w:color w:val="203242"/>
          <w:lang w:eastAsia="fr-FR"/>
        </w:rPr>
        <w:t xml:space="preserve"> au plus égale au douzième de l'indemnité forfaitaire annuelle maximum des attachés territoriau</w:t>
      </w:r>
      <w:r>
        <w:rPr>
          <w:rFonts w:ascii="Avenir Next LT Pro" w:hAnsi="Avenir Next LT Pro"/>
          <w:color w:val="203242"/>
          <w:lang w:eastAsia="fr-FR"/>
        </w:rPr>
        <w:t xml:space="preserve">x</w:t>
      </w:r>
      <w:r>
        <w:rPr>
          <w:rFonts w:ascii="Avenir Next LT Pro" w:hAnsi="Avenir Next LT Pro"/>
          <w:color w:val="203242"/>
          <w:lang w:eastAsia="fr-FR"/>
        </w:rPr>
        <w:t xml:space="preserve">.</w:t>
      </w:r>
      <w:r>
        <w:rPr>
          <w:rFonts w:ascii="Avenir Next LT Pro" w:hAnsi="Avenir Next LT Pro"/>
          <w:color w:val="203242"/>
          <w:lang w:eastAsia="fr-FR"/>
        </w:rPr>
      </w:r>
    </w:p>
    <w:p w14:paraId="585C1759" w14:textId="77777777"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 w14:paraId="0905AB67" w14:textId="2C369F13">
      <w:pPr>
        <w:pBdr/>
        <w:spacing/>
        <w:ind/>
        <w:jc w:val="both"/>
        <w:rPr>
          <w:rFonts w:ascii="Avenir Next LT Pro" w:hAnsi="Avenir Next LT Pro"/>
          <w:color w:val="203242"/>
          <w:lang w:eastAsia="fr-FR"/>
        </w:rPr>
      </w:pPr>
      <w:r>
        <w:rPr>
          <w:rFonts w:ascii="Avenir Next LT Pro" w:hAnsi="Avenir Next LT Pro"/>
          <w:i/>
          <w:iCs/>
          <w:color w:val="4f81bd"/>
          <w:lang w:eastAsia="fr-FR"/>
        </w:rPr>
        <w:t xml:space="preserve">(Le cas échéant) </w:t>
      </w:r>
      <w:r>
        <w:rPr>
          <w:rFonts w:ascii="Avenir Next LT Pro" w:hAnsi="Avenir Next LT Pro"/>
          <w:color w:val="203242"/>
          <w:lang w:eastAsia="fr-FR"/>
        </w:rPr>
        <w:t xml:space="preserve">Les taux résultant de ces évaluations pourront être doublés lorsque la consultation électorale aura </w:t>
      </w:r>
      <w:r>
        <w:rPr>
          <w:rFonts w:ascii="Avenir Next LT Pro" w:hAnsi="Avenir Next LT Pro"/>
          <w:color w:val="203242"/>
          <w:lang w:eastAsia="fr-FR"/>
        </w:rPr>
        <w:t xml:space="preserve">donné lieu à deux tours de scrutin.</w:t>
      </w:r>
      <w:r>
        <w:rPr>
          <w:rFonts w:ascii="Avenir Next LT Pro" w:hAnsi="Avenir Next LT Pro"/>
          <w:color w:val="203242"/>
          <w:lang w:eastAsia="fr-FR"/>
        </w:rPr>
      </w:r>
    </w:p>
    <w:p w14:paraId="2B38E522" w14:textId="789D500D">
      <w:pPr>
        <w:pBdr/>
        <w:spacing/>
        <w:ind/>
        <w:jc w:val="both"/>
        <w:rPr>
          <w:rFonts w:ascii="Avenir Next LT Pro" w:hAnsi="Avenir Next LT Pro"/>
          <w:color w:val="203242"/>
          <w:lang w:eastAsia="fr-FR"/>
        </w:rPr>
      </w:pPr>
      <w:r>
        <w:rPr>
          <w:rFonts w:ascii="Avenir Next LT Pro" w:hAnsi="Avenir Next LT Pro"/>
          <w:color w:val="203242"/>
          <w:lang w:eastAsia="fr-FR"/>
        </w:rPr>
        <w:t xml:space="preserve">Lorsque deux élections sont organisées le même jour l’IFCE n’est versée qu’une seule fois. </w:t>
      </w:r>
      <w:r>
        <w:rPr>
          <w:rFonts w:ascii="Avenir Next LT Pro" w:hAnsi="Avenir Next LT Pro"/>
          <w:color w:val="203242"/>
          <w:lang w:eastAsia="fr-FR"/>
        </w:rPr>
      </w:r>
    </w:p>
    <w:p w14:paraId="3F0BDF8D" w14:textId="293372E4">
      <w:pPr>
        <w:pBdr/>
        <w:spacing/>
        <w:ind/>
        <w:jc w:val="both"/>
        <w:rPr>
          <w:rFonts w:ascii="Avenir Next LT Pro" w:hAnsi="Avenir Next LT Pro"/>
          <w:color w:val="203242"/>
          <w:lang w:eastAsia="fr-FR"/>
        </w:rPr>
      </w:pPr>
      <w:r>
        <w:rPr>
          <w:rFonts w:ascii="Avenir Next LT Pro" w:hAnsi="Avenir Next LT Pro"/>
          <w:color w:val="203242"/>
          <w:lang w:eastAsia="fr-FR"/>
        </w:rPr>
        <w:t xml:space="preserve">L</w:t>
      </w:r>
      <w:r>
        <w:rPr>
          <w:rFonts w:ascii="Avenir Next LT Pro" w:hAnsi="Avenir Next LT Pro"/>
          <w:color w:val="203242"/>
          <w:lang w:eastAsia="fr-FR"/>
        </w:rPr>
        <w:t xml:space="preserve">’IFCE peut être versée autant de fois dans l’année que celle-ci comporte d’élections.</w:t>
      </w:r>
      <w:r>
        <w:rPr>
          <w:rFonts w:ascii="Avenir Next LT Pro" w:hAnsi="Avenir Next LT Pro"/>
          <w:color w:val="203242"/>
          <w:lang w:eastAsia="fr-FR"/>
        </w:rPr>
      </w:r>
    </w:p>
    <w:p w14:paraId="26D5D2FA" w14:textId="77777777"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b/>
          <w:color w:val="203242"/>
        </w:rPr>
      </w:pPr>
      <w:r>
        <w:rPr>
          <w:rFonts w:ascii="Avenir Next LT Pro" w:hAnsi="Avenir Next LT Pro" w:eastAsia="Times New Roman" w:cs="Times New Roman"/>
          <w:b/>
          <w:color w:val="203242"/>
        </w:rPr>
      </w:r>
      <w:r>
        <w:rPr>
          <w:rFonts w:ascii="Avenir Next LT Pro" w:hAnsi="Avenir Next LT Pro" w:eastAsia="Times New Roman" w:cs="Times New Roman"/>
          <w:b/>
          <w:color w:val="203242"/>
        </w:rPr>
      </w:r>
    </w:p>
    <w:p w14:paraId="585C175A" w14:textId="458BFF81"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b/>
          <w:color w:val="203242"/>
        </w:rPr>
      </w:pPr>
      <w:r>
        <w:rPr>
          <w:rFonts w:ascii="Avenir Next LT Pro" w:hAnsi="Avenir Next LT Pro" w:eastAsia="Times New Roman" w:cs="Times New Roman"/>
          <w:b/>
          <w:color w:val="203242"/>
        </w:rPr>
        <w:t xml:space="preserve">LES BENEFICIAIRES</w:t>
      </w:r>
      <w:r>
        <w:rPr>
          <w:rFonts w:ascii="Avenir Next LT Pro" w:hAnsi="Avenir Next LT Pro" w:eastAsia="Times New Roman" w:cs="Times New Roman"/>
          <w:b/>
          <w:color w:val="203242"/>
        </w:rPr>
      </w:r>
    </w:p>
    <w:p w14:paraId="585C175B" w14:textId="77777777"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b/>
          <w:color w:val="203242"/>
        </w:rPr>
      </w:pPr>
      <w:r>
        <w:rPr>
          <w:rFonts w:ascii="Avenir Next LT Pro" w:hAnsi="Avenir Next LT Pro" w:eastAsia="Times New Roman" w:cs="Times New Roman"/>
          <w:b/>
          <w:color w:val="203242"/>
        </w:rPr>
      </w:r>
      <w:r>
        <w:rPr>
          <w:rFonts w:ascii="Avenir Next LT Pro" w:hAnsi="Avenir Next LT Pro" w:eastAsia="Times New Roman" w:cs="Times New Roman"/>
          <w:b/>
          <w:color w:val="203242"/>
        </w:rPr>
      </w:r>
    </w:p>
    <w:p w14:paraId="585C175C" w14:textId="77777777">
      <w:pPr>
        <w:pBdr/>
        <w:spacing w:after="0" w:line="240" w:lineRule="auto"/>
        <w:ind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eastAsia="Times New Roman" w:cs="Times New Roman"/>
          <w:bCs/>
          <w:color w:val="203242"/>
        </w:rPr>
        <w:t xml:space="preserve">L’IFCE</w:t>
      </w:r>
      <w:r>
        <w:rPr>
          <w:rFonts w:ascii="Avenir Next LT Pro" w:hAnsi="Avenir Next LT Pro" w:cs="Arial"/>
          <w:color w:val="203242"/>
        </w:rPr>
        <w:t xml:space="preserve"> est versée aux fonctionnaires stagiaires et titulaires de catégorie A ayant accompli des travaux supplémentaires à l'occasion d'une consultation électorale, </w:t>
      </w:r>
      <w:r>
        <w:rPr>
          <w:rFonts w:ascii="Avenir Next LT Pro" w:hAnsi="Avenir Next LT Pro" w:eastAsia="Times New Roman" w:cs="Times New Roman"/>
          <w:color w:val="203242"/>
        </w:rPr>
        <w:t xml:space="preserve">en dehors des heures habituelles de service.</w:t>
      </w:r>
      <w:r>
        <w:rPr>
          <w:rFonts w:ascii="Avenir Next LT Pro" w:hAnsi="Avenir Next LT Pro" w:cs="Arial"/>
          <w:color w:val="203242"/>
        </w:rPr>
      </w:r>
    </w:p>
    <w:p w14:paraId="585C175D" w14:textId="77777777"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b/>
          <w:color w:val="203242"/>
        </w:rPr>
      </w:pPr>
      <w:r>
        <w:rPr>
          <w:rFonts w:ascii="Avenir Next LT Pro" w:hAnsi="Avenir Next LT Pro" w:eastAsia="Times New Roman" w:cs="Times New Roman"/>
          <w:b/>
          <w:color w:val="203242"/>
        </w:rPr>
      </w:r>
      <w:r>
        <w:rPr>
          <w:rFonts w:ascii="Avenir Next LT Pro" w:hAnsi="Avenir Next LT Pro" w:eastAsia="Times New Roman" w:cs="Times New Roman"/>
          <w:b/>
          <w:color w:val="203242"/>
        </w:rPr>
      </w:r>
    </w:p>
    <w:p w14:paraId="585C175E" w14:textId="77777777">
      <w:pPr>
        <w:pBdr/>
        <w:spacing/>
        <w:ind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 xml:space="preserve">Le bénéfice de cette indemnité est étendu dans les mêmes conditions aux agents contractuels de droit public de catégorie A accomplissant ces mêmes travaux.</w:t>
      </w:r>
      <w:r>
        <w:rPr>
          <w:rFonts w:ascii="Avenir Next LT Pro" w:hAnsi="Avenir Next LT Pro" w:cs="Arial"/>
          <w:color w:val="203242"/>
        </w:rPr>
      </w:r>
    </w:p>
    <w:tbl>
      <w:tblPr>
        <w:tblStyle w:val="742"/>
        <w:tblW w:w="0" w:type="auto"/>
        <w:tblBorders/>
        <w:tblLook w:val="04A0" w:firstRow="1" w:lastRow="0" w:firstColumn="1" w:lastColumn="0" w:noHBand="0" w:noVBand="1"/>
      </w:tblPr>
      <w:tblGrid>
        <w:gridCol w:w="4885"/>
        <w:gridCol w:w="4885"/>
      </w:tblGrid>
      <w:tr>
        <w:trPr/>
        <w:tc>
          <w:tcPr>
            <w:tcBorders/>
            <w:tcW w:w="4885" w:type="dxa"/>
            <w:textDirection w:val="lrTb"/>
            <w:noWrap w:val="false"/>
          </w:tcPr>
          <w:p w14:paraId="585C175F" w14:textId="77777777">
            <w:pPr>
              <w:pBdr/>
              <w:spacing/>
              <w:ind/>
              <w:jc w:val="center"/>
              <w:rPr>
                <w:rFonts w:ascii="Avenir Next LT Pro" w:hAnsi="Avenir Next LT Pro" w:cs="Arial"/>
                <w:b/>
                <w:bCs/>
                <w:color w:val="203242"/>
              </w:rPr>
            </w:pPr>
            <w:r>
              <w:rPr>
                <w:rFonts w:ascii="Avenir Next LT Pro" w:hAnsi="Avenir Next LT Pro" w:cs="Arial"/>
                <w:b/>
                <w:bCs/>
                <w:color w:val="203242"/>
              </w:rPr>
              <w:t xml:space="preserve">Cadre d’empois ou grade </w:t>
            </w:r>
            <w:r>
              <w:rPr>
                <w:rFonts w:ascii="Avenir Next LT Pro" w:hAnsi="Avenir Next LT Pro" w:cs="Arial"/>
                <w:i/>
                <w:iCs/>
                <w:color w:val="4f81bd"/>
              </w:rPr>
              <w:t xml:space="preserve">(pour un fonctionnaire) </w:t>
            </w:r>
            <w:r>
              <w:rPr>
                <w:rFonts w:ascii="Avenir Next LT Pro" w:hAnsi="Avenir Next LT Pro" w:cs="Arial"/>
                <w:b/>
                <w:bCs/>
                <w:color w:val="203242"/>
              </w:rPr>
              <w:t xml:space="preserve">ou fonctions </w:t>
            </w:r>
            <w:r>
              <w:rPr>
                <w:rFonts w:ascii="Avenir Next LT Pro" w:hAnsi="Avenir Next LT Pro" w:cs="Arial"/>
                <w:i/>
                <w:iCs/>
                <w:color w:val="4f81bd"/>
              </w:rPr>
              <w:t xml:space="preserve">(pour un agent contractuel)</w:t>
            </w:r>
            <w:r>
              <w:rPr>
                <w:rFonts w:ascii="Avenir Next LT Pro" w:hAnsi="Avenir Next LT Pro" w:cs="Arial"/>
                <w:b/>
                <w:bCs/>
                <w:color w:val="203242"/>
              </w:rPr>
            </w:r>
          </w:p>
        </w:tc>
        <w:tc>
          <w:tcPr>
            <w:tcBorders/>
            <w:tcW w:w="4885" w:type="dxa"/>
            <w:vAlign w:val="center"/>
            <w:textDirection w:val="lrTb"/>
            <w:noWrap w:val="false"/>
          </w:tcPr>
          <w:p w14:paraId="585C1760" w14:textId="77777777">
            <w:pPr>
              <w:pBdr/>
              <w:spacing/>
              <w:ind/>
              <w:jc w:val="center"/>
              <w:rPr>
                <w:rFonts w:ascii="Avenir Next LT Pro" w:hAnsi="Avenir Next LT Pro" w:cs="Arial"/>
                <w:i/>
                <w:iCs/>
                <w:color w:val="4f81bd"/>
              </w:rPr>
            </w:pPr>
            <w:r>
              <w:rPr>
                <w:rFonts w:ascii="Avenir Next LT Pro" w:hAnsi="Avenir Next LT Pro" w:cs="Arial"/>
                <w:b/>
                <w:bCs/>
                <w:color w:val="203242"/>
              </w:rPr>
              <w:t xml:space="preserve">Fonctions ou services</w:t>
            </w:r>
            <w:r>
              <w:rPr>
                <w:rFonts w:ascii="Avenir Next LT Pro" w:hAnsi="Avenir Next LT Pro" w:cs="Arial"/>
                <w:i/>
                <w:iCs/>
                <w:color w:val="4f81bd"/>
              </w:rPr>
            </w:r>
          </w:p>
          <w:p w14:paraId="585C1761" w14:textId="77777777">
            <w:pPr>
              <w:pBdr/>
              <w:spacing/>
              <w:ind/>
              <w:jc w:val="center"/>
              <w:rPr>
                <w:rFonts w:ascii="Avenir Next LT Pro" w:hAnsi="Avenir Next LT Pro" w:cs="Arial"/>
                <w:b/>
                <w:bCs/>
                <w:color w:val="203242"/>
              </w:rPr>
            </w:pPr>
            <w:r>
              <w:rPr>
                <w:rFonts w:ascii="Avenir Next LT Pro" w:hAnsi="Avenir Next LT Pro" w:cs="Arial"/>
                <w:i/>
                <w:iCs/>
                <w:color w:val="4f81bd"/>
              </w:rPr>
              <w:t xml:space="preserve">(le cas échéant)</w:t>
            </w:r>
            <w:r>
              <w:rPr>
                <w:rFonts w:ascii="Avenir Next LT Pro" w:hAnsi="Avenir Next LT Pro" w:cs="Arial"/>
                <w:b/>
                <w:bCs/>
                <w:color w:val="203242"/>
              </w:rPr>
            </w:r>
          </w:p>
        </w:tc>
      </w:tr>
      <w:tr>
        <w:trPr/>
        <w:tc>
          <w:tcPr>
            <w:tcBorders/>
            <w:tcW w:w="4885" w:type="dxa"/>
            <w:textDirection w:val="lrTb"/>
            <w:noWrap w:val="false"/>
          </w:tcPr>
          <w:p w14:paraId="585C1763" w14:textId="77777777">
            <w:pPr>
              <w:pBdr/>
              <w:spacing/>
              <w:ind/>
              <w:jc w:val="both"/>
              <w:rPr>
                <w:rFonts w:ascii="Avenir Next LT Pro" w:hAnsi="Avenir Next LT Pro" w:cs="Arial"/>
                <w:color w:val="203242"/>
              </w:rPr>
            </w:pPr>
            <w:r>
              <w:rPr>
                <w:rFonts w:ascii="Avenir Next LT Pro" w:hAnsi="Avenir Next LT Pro" w:cs="Arial"/>
                <w:color w:val="203242"/>
              </w:rPr>
            </w:r>
            <w:r>
              <w:rPr>
                <w:rFonts w:ascii="Avenir Next LT Pro" w:hAnsi="Avenir Next LT Pro" w:cs="Arial"/>
                <w:color w:val="203242"/>
              </w:rPr>
            </w:r>
          </w:p>
        </w:tc>
        <w:tc>
          <w:tcPr>
            <w:tcBorders/>
            <w:tcW w:w="4885" w:type="dxa"/>
            <w:textDirection w:val="lrTb"/>
            <w:noWrap w:val="false"/>
          </w:tcPr>
          <w:p w14:paraId="585C1764" w14:textId="77777777">
            <w:pPr>
              <w:pBdr/>
              <w:spacing/>
              <w:ind/>
              <w:jc w:val="both"/>
              <w:rPr>
                <w:rFonts w:ascii="Avenir Next LT Pro" w:hAnsi="Avenir Next LT Pro" w:cs="Arial"/>
                <w:color w:val="203242"/>
              </w:rPr>
            </w:pPr>
            <w:r>
              <w:rPr>
                <w:rFonts w:ascii="Avenir Next LT Pro" w:hAnsi="Avenir Next LT Pro" w:cs="Arial"/>
                <w:color w:val="203242"/>
              </w:rPr>
            </w:r>
            <w:r>
              <w:rPr>
                <w:rFonts w:ascii="Avenir Next LT Pro" w:hAnsi="Avenir Next LT Pro" w:cs="Arial"/>
                <w:color w:val="203242"/>
              </w:rPr>
            </w:r>
          </w:p>
        </w:tc>
      </w:tr>
      <w:tr>
        <w:trPr/>
        <w:tc>
          <w:tcPr>
            <w:tcBorders/>
            <w:tcW w:w="4885" w:type="dxa"/>
            <w:textDirection w:val="lrTb"/>
            <w:noWrap w:val="false"/>
          </w:tcPr>
          <w:p w14:paraId="585C1766" w14:textId="77777777">
            <w:pPr>
              <w:pBdr/>
              <w:spacing/>
              <w:ind/>
              <w:jc w:val="both"/>
              <w:rPr>
                <w:rFonts w:ascii="Avenir Next LT Pro" w:hAnsi="Avenir Next LT Pro" w:cs="Arial"/>
                <w:color w:val="203242"/>
              </w:rPr>
            </w:pPr>
            <w:r>
              <w:rPr>
                <w:rFonts w:ascii="Avenir Next LT Pro" w:hAnsi="Avenir Next LT Pro" w:cs="Arial"/>
                <w:color w:val="203242"/>
              </w:rPr>
            </w:r>
            <w:r>
              <w:rPr>
                <w:rFonts w:ascii="Avenir Next LT Pro" w:hAnsi="Avenir Next LT Pro" w:cs="Arial"/>
                <w:color w:val="203242"/>
              </w:rPr>
            </w:r>
          </w:p>
        </w:tc>
        <w:tc>
          <w:tcPr>
            <w:tcBorders/>
            <w:tcW w:w="4885" w:type="dxa"/>
            <w:textDirection w:val="lrTb"/>
            <w:noWrap w:val="false"/>
          </w:tcPr>
          <w:p w14:paraId="585C1767" w14:textId="77777777">
            <w:pPr>
              <w:pBdr/>
              <w:spacing/>
              <w:ind/>
              <w:jc w:val="both"/>
              <w:rPr>
                <w:rFonts w:ascii="Avenir Next LT Pro" w:hAnsi="Avenir Next LT Pro" w:cs="Arial"/>
                <w:color w:val="203242"/>
              </w:rPr>
            </w:pPr>
            <w:r>
              <w:rPr>
                <w:rFonts w:ascii="Avenir Next LT Pro" w:hAnsi="Avenir Next LT Pro" w:cs="Arial"/>
                <w:color w:val="203242"/>
              </w:rPr>
            </w:r>
            <w:r>
              <w:rPr>
                <w:rFonts w:ascii="Avenir Next LT Pro" w:hAnsi="Avenir Next LT Pro" w:cs="Arial"/>
                <w:color w:val="203242"/>
              </w:rPr>
            </w:r>
          </w:p>
        </w:tc>
      </w:tr>
      <w:tr>
        <w:trPr/>
        <w:tc>
          <w:tcPr>
            <w:tcBorders/>
            <w:tcW w:w="4885" w:type="dxa"/>
            <w:textDirection w:val="lrTb"/>
            <w:noWrap w:val="false"/>
          </w:tcPr>
          <w:p w14:paraId="585C1769" w14:textId="77777777">
            <w:pPr>
              <w:pBdr/>
              <w:spacing/>
              <w:ind/>
              <w:jc w:val="both"/>
              <w:rPr>
                <w:rFonts w:ascii="Avenir Next LT Pro" w:hAnsi="Avenir Next LT Pro" w:cs="Arial"/>
                <w:color w:val="203242"/>
              </w:rPr>
            </w:pPr>
            <w:r>
              <w:rPr>
                <w:rFonts w:ascii="Avenir Next LT Pro" w:hAnsi="Avenir Next LT Pro" w:cs="Arial"/>
                <w:color w:val="203242"/>
              </w:rPr>
            </w:r>
            <w:r>
              <w:rPr>
                <w:rFonts w:ascii="Avenir Next LT Pro" w:hAnsi="Avenir Next LT Pro" w:cs="Arial"/>
                <w:color w:val="203242"/>
              </w:rPr>
            </w:r>
          </w:p>
        </w:tc>
        <w:tc>
          <w:tcPr>
            <w:tcBorders/>
            <w:tcW w:w="4885" w:type="dxa"/>
            <w:textDirection w:val="lrTb"/>
            <w:noWrap w:val="false"/>
          </w:tcPr>
          <w:p w14:paraId="585C176A" w14:textId="77777777">
            <w:pPr>
              <w:pBdr/>
              <w:spacing/>
              <w:ind/>
              <w:jc w:val="both"/>
              <w:rPr>
                <w:rFonts w:ascii="Avenir Next LT Pro" w:hAnsi="Avenir Next LT Pro" w:cs="Arial"/>
                <w:color w:val="203242"/>
              </w:rPr>
            </w:pPr>
            <w:r>
              <w:rPr>
                <w:rFonts w:ascii="Avenir Next LT Pro" w:hAnsi="Avenir Next LT Pro" w:cs="Arial"/>
                <w:color w:val="203242"/>
              </w:rPr>
            </w:r>
            <w:r>
              <w:rPr>
                <w:rFonts w:ascii="Avenir Next LT Pro" w:hAnsi="Avenir Next LT Pro" w:cs="Arial"/>
                <w:color w:val="203242"/>
              </w:rPr>
            </w:r>
          </w:p>
        </w:tc>
      </w:tr>
      <w:tr>
        <w:trPr/>
        <w:tc>
          <w:tcPr>
            <w:tcBorders/>
            <w:tcW w:w="4885" w:type="dxa"/>
            <w:textDirection w:val="lrTb"/>
            <w:noWrap w:val="false"/>
          </w:tcPr>
          <w:p w14:paraId="585C176C" w14:textId="77777777">
            <w:pPr>
              <w:pBdr/>
              <w:spacing/>
              <w:ind/>
              <w:jc w:val="both"/>
              <w:rPr>
                <w:rFonts w:ascii="Avenir Next LT Pro" w:hAnsi="Avenir Next LT Pro" w:cs="Arial"/>
                <w:color w:val="203242"/>
              </w:rPr>
            </w:pPr>
            <w:r>
              <w:rPr>
                <w:rFonts w:ascii="Avenir Next LT Pro" w:hAnsi="Avenir Next LT Pro" w:cs="Arial"/>
                <w:color w:val="203242"/>
              </w:rPr>
            </w:r>
            <w:r>
              <w:rPr>
                <w:rFonts w:ascii="Avenir Next LT Pro" w:hAnsi="Avenir Next LT Pro" w:cs="Arial"/>
                <w:color w:val="203242"/>
              </w:rPr>
            </w:r>
          </w:p>
        </w:tc>
        <w:tc>
          <w:tcPr>
            <w:tcBorders/>
            <w:tcW w:w="4885" w:type="dxa"/>
            <w:textDirection w:val="lrTb"/>
            <w:noWrap w:val="false"/>
          </w:tcPr>
          <w:p w14:paraId="585C176D" w14:textId="77777777">
            <w:pPr>
              <w:pBdr/>
              <w:spacing/>
              <w:ind/>
              <w:jc w:val="both"/>
              <w:rPr>
                <w:rFonts w:ascii="Avenir Next LT Pro" w:hAnsi="Avenir Next LT Pro" w:cs="Arial"/>
                <w:color w:val="203242"/>
              </w:rPr>
            </w:pPr>
            <w:r>
              <w:rPr>
                <w:rFonts w:ascii="Avenir Next LT Pro" w:hAnsi="Avenir Next LT Pro" w:cs="Arial"/>
                <w:color w:val="203242"/>
              </w:rPr>
            </w:r>
            <w:r>
              <w:rPr>
                <w:rFonts w:ascii="Avenir Next LT Pro" w:hAnsi="Avenir Next LT Pro" w:cs="Arial"/>
                <w:color w:val="203242"/>
              </w:rPr>
            </w:r>
          </w:p>
        </w:tc>
      </w:tr>
      <w:tr>
        <w:trPr/>
        <w:tc>
          <w:tcPr>
            <w:tcBorders/>
            <w:tcW w:w="4885" w:type="dxa"/>
            <w:textDirection w:val="lrTb"/>
            <w:noWrap w:val="false"/>
          </w:tcPr>
          <w:p w14:paraId="585C176F" w14:textId="77777777">
            <w:pPr>
              <w:pBdr/>
              <w:spacing/>
              <w:ind/>
              <w:jc w:val="both"/>
              <w:rPr>
                <w:rFonts w:ascii="Avenir Next LT Pro" w:hAnsi="Avenir Next LT Pro" w:cs="Arial"/>
                <w:color w:val="203242"/>
              </w:rPr>
            </w:pPr>
            <w:r>
              <w:rPr>
                <w:rFonts w:ascii="Avenir Next LT Pro" w:hAnsi="Avenir Next LT Pro" w:cs="Arial"/>
                <w:color w:val="203242"/>
              </w:rPr>
            </w:r>
            <w:r>
              <w:rPr>
                <w:rFonts w:ascii="Avenir Next LT Pro" w:hAnsi="Avenir Next LT Pro" w:cs="Arial"/>
                <w:color w:val="203242"/>
              </w:rPr>
            </w:r>
          </w:p>
        </w:tc>
        <w:tc>
          <w:tcPr>
            <w:tcBorders/>
            <w:tcW w:w="4885" w:type="dxa"/>
            <w:textDirection w:val="lrTb"/>
            <w:noWrap w:val="false"/>
          </w:tcPr>
          <w:p w14:paraId="585C1770" w14:textId="77777777">
            <w:pPr>
              <w:pBdr/>
              <w:spacing/>
              <w:ind/>
              <w:jc w:val="both"/>
              <w:rPr>
                <w:rFonts w:ascii="Avenir Next LT Pro" w:hAnsi="Avenir Next LT Pro" w:cs="Arial"/>
                <w:color w:val="203242"/>
              </w:rPr>
            </w:pPr>
            <w:r>
              <w:rPr>
                <w:rFonts w:ascii="Avenir Next LT Pro" w:hAnsi="Avenir Next LT Pro" w:cs="Arial"/>
                <w:color w:val="203242"/>
              </w:rPr>
            </w:r>
            <w:r>
              <w:rPr>
                <w:rFonts w:ascii="Avenir Next LT Pro" w:hAnsi="Avenir Next LT Pro" w:cs="Arial"/>
                <w:color w:val="203242"/>
              </w:rPr>
            </w:r>
          </w:p>
        </w:tc>
      </w:tr>
      <w:tr>
        <w:trPr/>
        <w:tc>
          <w:tcPr>
            <w:tcBorders/>
            <w:tcW w:w="4885" w:type="dxa"/>
            <w:textDirection w:val="lrTb"/>
            <w:noWrap w:val="false"/>
          </w:tcPr>
          <w:p w14:paraId="585C1772" w14:textId="77777777">
            <w:pPr>
              <w:pBdr/>
              <w:spacing/>
              <w:ind/>
              <w:jc w:val="both"/>
              <w:rPr>
                <w:rFonts w:ascii="Avenir Next LT Pro" w:hAnsi="Avenir Next LT Pro" w:cs="Arial"/>
                <w:color w:val="203242"/>
              </w:rPr>
            </w:pPr>
            <w:r>
              <w:rPr>
                <w:rFonts w:ascii="Avenir Next LT Pro" w:hAnsi="Avenir Next LT Pro" w:cs="Arial"/>
                <w:color w:val="203242"/>
              </w:rPr>
            </w:r>
            <w:r>
              <w:rPr>
                <w:rFonts w:ascii="Avenir Next LT Pro" w:hAnsi="Avenir Next LT Pro" w:cs="Arial"/>
                <w:color w:val="203242"/>
              </w:rPr>
            </w:r>
          </w:p>
        </w:tc>
        <w:tc>
          <w:tcPr>
            <w:tcBorders/>
            <w:tcW w:w="4885" w:type="dxa"/>
            <w:textDirection w:val="lrTb"/>
            <w:noWrap w:val="false"/>
          </w:tcPr>
          <w:p w14:paraId="585C1773" w14:textId="77777777">
            <w:pPr>
              <w:pBdr/>
              <w:spacing/>
              <w:ind/>
              <w:jc w:val="both"/>
              <w:rPr>
                <w:rFonts w:ascii="Avenir Next LT Pro" w:hAnsi="Avenir Next LT Pro" w:cs="Arial"/>
                <w:color w:val="203242"/>
              </w:rPr>
            </w:pPr>
            <w:r>
              <w:rPr>
                <w:rFonts w:ascii="Avenir Next LT Pro" w:hAnsi="Avenir Next LT Pro" w:cs="Arial"/>
                <w:color w:val="203242"/>
              </w:rPr>
            </w:r>
            <w:r>
              <w:rPr>
                <w:rFonts w:ascii="Avenir Next LT Pro" w:hAnsi="Avenir Next LT Pro" w:cs="Arial"/>
                <w:color w:val="203242"/>
              </w:rPr>
            </w:r>
          </w:p>
        </w:tc>
      </w:tr>
    </w:tbl>
    <w:p w14:paraId="585C1775" w14:textId="77777777"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b/>
          <w:color w:val="203242"/>
        </w:rPr>
      </w:pPr>
      <w:r>
        <w:rPr>
          <w:rFonts w:ascii="Avenir Next LT Pro" w:hAnsi="Avenir Next LT Pro" w:eastAsia="Times New Roman" w:cs="Times New Roman"/>
          <w:b/>
          <w:color w:val="203242"/>
        </w:rPr>
      </w:r>
      <w:r>
        <w:rPr>
          <w:rFonts w:ascii="Avenir Next LT Pro" w:hAnsi="Avenir Next LT Pro" w:eastAsia="Times New Roman" w:cs="Times New Roman"/>
          <w:b/>
          <w:color w:val="203242"/>
        </w:rPr>
      </w:r>
    </w:p>
    <w:p w14:paraId="585C1776" w14:textId="77777777"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b/>
          <w:color w:val="203242"/>
        </w:rPr>
      </w:pPr>
      <w:r>
        <w:rPr>
          <w:rFonts w:ascii="Avenir Next LT Pro" w:hAnsi="Avenir Next LT Pro" w:eastAsia="Times New Roman" w:cs="Times New Roman"/>
          <w:b/>
          <w:color w:val="203242"/>
        </w:rPr>
        <w:t xml:space="preserve">LA PROCEDURE D’ATTRIBUTION</w:t>
      </w:r>
      <w:r>
        <w:rPr>
          <w:rFonts w:ascii="Avenir Next LT Pro" w:hAnsi="Avenir Next LT Pro" w:eastAsia="Times New Roman" w:cs="Times New Roman"/>
          <w:b/>
          <w:color w:val="203242"/>
        </w:rPr>
      </w:r>
    </w:p>
    <w:p w14:paraId="585C1777" w14:textId="77777777"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b/>
          <w:color w:val="203242"/>
        </w:rPr>
      </w:pPr>
      <w:r>
        <w:rPr>
          <w:rFonts w:ascii="Avenir Next LT Pro" w:hAnsi="Avenir Next LT Pro" w:eastAsia="Times New Roman" w:cs="Times New Roman"/>
          <w:b/>
          <w:color w:val="203242"/>
        </w:rPr>
      </w:r>
      <w:r>
        <w:rPr>
          <w:rFonts w:ascii="Avenir Next LT Pro" w:hAnsi="Avenir Next LT Pro" w:eastAsia="Times New Roman" w:cs="Times New Roman"/>
          <w:b/>
          <w:color w:val="203242"/>
        </w:rPr>
      </w:r>
    </w:p>
    <w:p w14:paraId="585C1778" w14:textId="77777777"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  <w:t xml:space="preserve">Le montant de référence pour le calcul de l’IFCE est le taux moyen de l’IFTS du grade d’attaché territorial (2</w:t>
      </w:r>
      <w:r>
        <w:rPr>
          <w:rFonts w:ascii="Avenir Next LT Pro" w:hAnsi="Avenir Next LT Pro" w:eastAsia="Times New Roman" w:cs="Times New Roman"/>
          <w:color w:val="203242"/>
          <w:vertAlign w:val="superscript"/>
        </w:rPr>
        <w:t xml:space="preserve">ème</w:t>
      </w:r>
      <w:r>
        <w:rPr>
          <w:rFonts w:ascii="Avenir Next LT Pro" w:hAnsi="Avenir Next LT Pro" w:eastAsia="Times New Roman" w:cs="Times New Roman"/>
          <w:color w:val="203242"/>
        </w:rPr>
        <w:t xml:space="preserve"> catégorie).</w:t>
      </w:r>
      <w:r>
        <w:rPr>
          <w:rFonts w:ascii="Avenir Next LT Pro" w:hAnsi="Avenir Next LT Pro" w:eastAsia="Times New Roman" w:cs="Times New Roman"/>
          <w:color w:val="203242"/>
        </w:rPr>
      </w:r>
    </w:p>
    <w:p w14:paraId="585C1779" w14:textId="77777777"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 w14:paraId="585C177A" w14:textId="77777777">
      <w:pPr>
        <w:pBdr/>
        <w:spacing/>
        <w:ind/>
        <w:jc w:val="both"/>
        <w:rPr>
          <w:rFonts w:ascii="Avenir Next LT Pro" w:hAnsi="Avenir Next LT Pro"/>
          <w:b/>
          <w:bCs/>
          <w:color w:val="203242"/>
          <w:lang w:eastAsia="fr-FR"/>
        </w:rPr>
      </w:pPr>
      <w:r>
        <w:rPr>
          <w:rFonts w:ascii="Avenir Next LT Pro" w:hAnsi="Avenir Next LT Pro"/>
          <w:color w:val="203242"/>
          <w:lang w:eastAsia="fr-FR"/>
        </w:rPr>
        <w:t xml:space="preserve">Le taux annuel moyen de l’IFTS de 2</w:t>
      </w:r>
      <w:r>
        <w:rPr>
          <w:rFonts w:ascii="Avenir Next LT Pro" w:hAnsi="Avenir Next LT Pro"/>
          <w:color w:val="203242"/>
          <w:vertAlign w:val="superscript"/>
          <w:lang w:eastAsia="fr-FR"/>
        </w:rPr>
        <w:t xml:space="preserve">ème</w:t>
      </w:r>
      <w:r>
        <w:rPr>
          <w:rFonts w:ascii="Avenir Next LT Pro" w:hAnsi="Avenir Next LT Pro"/>
          <w:color w:val="203242"/>
          <w:lang w:eastAsia="fr-FR"/>
        </w:rPr>
        <w:t xml:space="preserve"> catégorie est de...............</w:t>
      </w:r>
      <w:r>
        <w:rPr>
          <w:rFonts w:ascii="Avenir Next LT Pro" w:hAnsi="Avenir Next LT Pro"/>
          <w:i/>
          <w:iCs/>
          <w:color w:val="4f81bd"/>
          <w:lang w:eastAsia="fr-FR"/>
        </w:rPr>
        <w:t xml:space="preserve"> (à compléter)</w:t>
      </w:r>
      <w:r>
        <w:rPr>
          <w:rFonts w:ascii="Avenir Next LT Pro" w:hAnsi="Avenir Next LT Pro"/>
          <w:color w:val="203242"/>
          <w:lang w:eastAsia="fr-FR"/>
        </w:rPr>
        <w:t xml:space="preserve">.</w:t>
      </w:r>
      <w:r>
        <w:rPr>
          <w:rFonts w:ascii="Avenir Next LT Pro" w:hAnsi="Avenir Next LT Pro"/>
          <w:b/>
          <w:bCs/>
          <w:color w:val="203242"/>
          <w:lang w:eastAsia="fr-FR"/>
        </w:rPr>
      </w:r>
    </w:p>
    <w:p w14:paraId="585C177B" w14:textId="50BBF736">
      <w:pPr>
        <w:pBdr/>
        <w:spacing/>
        <w:ind/>
        <w:jc w:val="both"/>
        <w:rPr>
          <w:rFonts w:ascii="Avenir Next LT Pro" w:hAnsi="Avenir Next LT Pro"/>
          <w:color w:val="203242"/>
          <w:lang w:eastAsia="fr-FR"/>
        </w:rPr>
      </w:pPr>
      <w:r>
        <w:rPr>
          <w:rFonts w:ascii="Avenir Next LT Pro" w:hAnsi="Avenir Next LT Pro"/>
          <w:color w:val="203242"/>
          <w:lang w:eastAsia="fr-FR"/>
        </w:rPr>
        <w:t xml:space="preserve">Ce montant moyen, indexé sur la valeur du point d’indice de la fonction publique, </w:t>
      </w:r>
      <w:r>
        <w:rPr>
          <w:rFonts w:ascii="Avenir Next LT Pro" w:hAnsi="Avenir Next LT Pro"/>
          <w:color w:val="203242"/>
          <w:lang w:eastAsia="fr-FR"/>
        </w:rPr>
        <w:t xml:space="preserve">est </w:t>
      </w:r>
      <w:r>
        <w:rPr>
          <w:rFonts w:ascii="Avenir Next LT Pro" w:hAnsi="Avenir Next LT Pro"/>
          <w:color w:val="203242"/>
          <w:lang w:eastAsia="fr-FR"/>
        </w:rPr>
        <w:t xml:space="preserve">affecté d’un coefficient multiplicateur d’ajustement, compris entre 1 et 8.</w:t>
      </w:r>
      <w:r>
        <w:rPr>
          <w:rFonts w:ascii="Avenir Next LT Pro" w:hAnsi="Avenir Next LT Pro"/>
          <w:color w:val="203242"/>
          <w:lang w:eastAsia="fr-FR"/>
        </w:rPr>
      </w:r>
    </w:p>
    <w:p w14:paraId="585C177C" w14:textId="77777777">
      <w:pPr>
        <w:pBdr/>
        <w:spacing/>
        <w:ind/>
        <w:jc w:val="both"/>
        <w:rPr>
          <w:rFonts w:ascii="Avenir Next LT Pro" w:hAnsi="Avenir Next LT Pro"/>
          <w:color w:val="203242"/>
          <w:lang w:eastAsia="fr-FR"/>
        </w:rPr>
      </w:pPr>
      <w:r>
        <w:rPr>
          <w:rFonts w:ascii="Avenir Next LT Pro" w:hAnsi="Avenir Next LT Pro"/>
          <w:color w:val="203242"/>
          <w:lang w:eastAsia="fr-FR"/>
        </w:rPr>
        <w:t xml:space="preserve">Le montant individuel attribué ne peut cependant pas être supérieur à 8 fois le montant moyen annuel retenu.</w:t>
      </w:r>
      <w:r>
        <w:rPr>
          <w:rFonts w:ascii="Avenir Next LT Pro" w:hAnsi="Avenir Next LT Pro"/>
          <w:color w:val="203242"/>
          <w:lang w:eastAsia="fr-FR"/>
        </w:rPr>
      </w:r>
    </w:p>
    <w:p w14:paraId="585C177D" w14:textId="77777777">
      <w:pPr>
        <w:pBdr/>
        <w:spacing/>
        <w:ind/>
        <w:jc w:val="both"/>
        <w:rPr>
          <w:rFonts w:ascii="Avenir Next LT Pro" w:hAnsi="Avenir Next LT Pro"/>
          <w:color w:val="203242"/>
          <w:lang w:eastAsia="fr-FR"/>
        </w:rPr>
      </w:pPr>
      <w:r>
        <w:rPr>
          <w:rFonts w:ascii="Avenir Next LT Pro" w:hAnsi="Avenir Next LT Pro"/>
          <w:color w:val="203242"/>
          <w:lang w:eastAsia="fr-FR"/>
        </w:rPr>
        <w:t xml:space="preserve">Le Maire propose de retenir le taux de référence réglementaire, soit………….(</w:t>
      </w:r>
      <w:r>
        <w:rPr>
          <w:rFonts w:ascii="Avenir Next LT Pro" w:hAnsi="Avenir Next LT Pro"/>
          <w:i/>
          <w:iCs/>
          <w:color w:val="4f81bd"/>
          <w:lang w:eastAsia="fr-FR"/>
        </w:rPr>
        <w:t xml:space="preserve">l’organe délibérant peut retenir un taux inférieur</w:t>
      </w:r>
      <w:r>
        <w:rPr>
          <w:rFonts w:ascii="Avenir Next LT Pro" w:hAnsi="Avenir Next LT Pro"/>
          <w:color w:val="203242"/>
          <w:lang w:eastAsia="fr-FR"/>
        </w:rPr>
        <w:t xml:space="preserve">), d’appliquer un coefficient multiplicateur de………… et d’appliquer automatiquement les revalorisations de l’indemnité en fonction des revalorisations des traitements de la Fonction Publique (</w:t>
      </w:r>
      <w:r>
        <w:rPr>
          <w:rFonts w:ascii="Avenir Next LT Pro" w:hAnsi="Avenir Next LT Pro"/>
          <w:i/>
          <w:iCs/>
          <w:color w:val="4f81bd"/>
          <w:lang w:eastAsia="fr-FR"/>
        </w:rPr>
        <w:t xml:space="preserve">cette dernière mention est laissée à l’appréciation de l’organe délibérant</w:t>
      </w:r>
      <w:r>
        <w:rPr>
          <w:rFonts w:ascii="Avenir Next LT Pro" w:hAnsi="Avenir Next LT Pro"/>
          <w:color w:val="203242"/>
          <w:lang w:eastAsia="fr-FR"/>
        </w:rPr>
        <w:t xml:space="preserve">).</w:t>
      </w:r>
      <w:r>
        <w:rPr>
          <w:rFonts w:ascii="Avenir Next LT Pro" w:hAnsi="Avenir Next LT Pro"/>
          <w:color w:val="203242"/>
          <w:lang w:eastAsia="fr-FR"/>
        </w:rPr>
      </w:r>
    </w:p>
    <w:p w14:paraId="585C177E" w14:textId="6C3FAE02">
      <w:pPr>
        <w:pBdr/>
        <w:spacing/>
        <w:ind/>
        <w:jc w:val="both"/>
        <w:rPr>
          <w:rFonts w:ascii="Avenir Next LT Pro" w:hAnsi="Avenir Next LT Pro"/>
          <w:color w:val="203242"/>
          <w:lang w:eastAsia="fr-FR"/>
        </w:rPr>
      </w:pPr>
      <w:r>
        <w:rPr>
          <w:rFonts w:ascii="Avenir Next LT Pro" w:hAnsi="Avenir Next LT Pro"/>
          <w:color w:val="203242"/>
          <w:lang w:eastAsia="fr-FR"/>
        </w:rPr>
        <w:t xml:space="preserve">Le Maire procédera aux attributions individuelles en fonction du temps consacré aux opérations électorales en dehors des obligations de service et en tenant compte de……. (</w:t>
      </w:r>
      <w:r>
        <w:rPr>
          <w:rFonts w:ascii="Avenir Next LT Pro" w:hAnsi="Avenir Next LT Pro"/>
          <w:i/>
          <w:iCs/>
          <w:color w:val="4f81bd"/>
          <w:lang w:eastAsia="fr-FR"/>
        </w:rPr>
        <w:t xml:space="preserve">le cas échéant indiquer les critères de modulation tels que par exemple l’implication, le niveau de responsabilité...</w:t>
      </w:r>
      <w:r>
        <w:rPr>
          <w:rFonts w:ascii="Avenir Next LT Pro" w:hAnsi="Avenir Next LT Pro"/>
          <w:color w:val="203242"/>
          <w:lang w:eastAsia="fr-FR"/>
        </w:rPr>
        <w:t xml:space="preserve">).</w:t>
      </w:r>
      <w:r>
        <w:rPr>
          <w:rFonts w:ascii="Avenir Next LT Pro" w:hAnsi="Avenir Next LT Pro"/>
          <w:color w:val="203242"/>
          <w:lang w:eastAsia="fr-FR"/>
        </w:rPr>
      </w:r>
    </w:p>
    <w:p w14:paraId="585C177F" w14:textId="77777777">
      <w:pPr>
        <w:pBdr/>
        <w:spacing/>
        <w:ind/>
        <w:jc w:val="both"/>
        <w:rPr>
          <w:rFonts w:ascii="Avenir Next LT Pro" w:hAnsi="Avenir Next LT Pro"/>
          <w:i/>
          <w:iCs/>
          <w:color w:val="4f81bd"/>
          <w:lang w:eastAsia="fr-FR"/>
        </w:rPr>
      </w:pPr>
      <w:r>
        <w:rPr>
          <w:rFonts w:ascii="Avenir Next LT Pro" w:hAnsi="Avenir Next LT Pro"/>
          <w:i/>
          <w:iCs/>
          <w:color w:val="4f81bd"/>
          <w:lang w:eastAsia="fr-FR"/>
        </w:rPr>
        <w:t xml:space="preserve">(Le cas échéant) </w:t>
      </w:r>
      <w:r>
        <w:rPr>
          <w:rFonts w:ascii="Avenir Next LT Pro" w:hAnsi="Avenir Next LT Pro"/>
          <w:color w:val="203242"/>
          <w:lang w:eastAsia="fr-FR"/>
        </w:rPr>
        <w:t xml:space="preserve">Lorsqu’un agent est seul à pouvoir bénéficier de ce dispositif, la somme individuelle allouée peut être portée au montant maximum individuel possible tel que décrit ci-dessus. Le Maire propose de retenir cette possibilité de majoration.</w:t>
      </w:r>
      <w:r>
        <w:rPr>
          <w:rFonts w:ascii="Avenir Next LT Pro" w:hAnsi="Avenir Next LT Pro"/>
          <w:i/>
          <w:iCs/>
          <w:color w:val="4f81bd"/>
          <w:lang w:eastAsia="fr-FR"/>
        </w:rPr>
      </w:r>
    </w:p>
    <w:p w14:paraId="585C1780" w14:textId="77777777"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b/>
          <w:color w:val="203242"/>
        </w:rPr>
      </w:pPr>
      <w:r>
        <w:rPr>
          <w:rFonts w:ascii="Avenir Next LT Pro" w:hAnsi="Avenir Next LT Pro" w:eastAsia="Times New Roman" w:cs="Times New Roman"/>
          <w:b/>
          <w:color w:val="203242"/>
        </w:rPr>
        <w:t xml:space="preserve">LE VERSEMENT </w:t>
      </w:r>
      <w:r>
        <w:rPr>
          <w:rFonts w:ascii="Avenir Next LT Pro" w:hAnsi="Avenir Next LT Pro" w:eastAsia="Times New Roman" w:cs="Times New Roman"/>
          <w:b/>
          <w:color w:val="203242"/>
        </w:rPr>
      </w:r>
    </w:p>
    <w:p w14:paraId="585C1781" w14:textId="77777777"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b/>
          <w:color w:val="203242"/>
        </w:rPr>
      </w:pPr>
      <w:r>
        <w:rPr>
          <w:rFonts w:ascii="Avenir Next LT Pro" w:hAnsi="Avenir Next LT Pro" w:eastAsia="Times New Roman" w:cs="Times New Roman"/>
          <w:b/>
          <w:color w:val="203242"/>
        </w:rPr>
      </w:r>
      <w:r>
        <w:rPr>
          <w:rFonts w:ascii="Avenir Next LT Pro" w:hAnsi="Avenir Next LT Pro" w:eastAsia="Times New Roman" w:cs="Times New Roman"/>
          <w:b/>
          <w:color w:val="203242"/>
        </w:rPr>
      </w:r>
    </w:p>
    <w:p w14:paraId="585C1782" w14:textId="77777777"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bCs/>
          <w:color w:val="203242"/>
        </w:rPr>
      </w:pPr>
      <w:r>
        <w:rPr>
          <w:rFonts w:ascii="Avenir Next LT Pro" w:hAnsi="Avenir Next LT Pro" w:eastAsia="Times New Roman" w:cs="Times New Roman"/>
          <w:bCs/>
          <w:color w:val="203242"/>
        </w:rPr>
        <w:t xml:space="preserve">Le paiement de cette indemnité sera réalisé après chaque tour des consultations électorales.</w:t>
      </w:r>
      <w:r>
        <w:rPr>
          <w:rFonts w:ascii="Avenir Next LT Pro" w:hAnsi="Avenir Next LT Pro" w:eastAsia="Times New Roman" w:cs="Times New Roman"/>
          <w:bCs/>
          <w:color w:val="203242"/>
        </w:rPr>
      </w:r>
    </w:p>
    <w:p w14:paraId="585C1783" w14:textId="77777777"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 w14:paraId="585C1784" w14:textId="5C7C679F"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  <w:t xml:space="preserve">Le Conseil Municipal, après avoir entendu le Maire dans ses explications complémentaires, après avis du Comité Social Territorial émis dans sa séance du…</w:t>
      </w:r>
      <w:r>
        <w:rPr>
          <w:rFonts w:ascii="Avenir Next LT Pro" w:hAnsi="Avenir Next LT Pro" w:eastAsia="Times New Roman" w:cs="Times New Roman"/>
          <w:color w:val="203242"/>
        </w:rPr>
        <w:t xml:space="preserve">……</w:t>
      </w:r>
      <w:r>
        <w:rPr>
          <w:rFonts w:ascii="Avenir Next LT Pro" w:hAnsi="Avenir Next LT Pro" w:eastAsia="Times New Roman" w:cs="Times New Roman"/>
          <w:color w:val="203242"/>
        </w:rPr>
        <w:t xml:space="preserve">et après en avoir délibéré,</w:t>
      </w:r>
      <w:r>
        <w:rPr>
          <w:rFonts w:ascii="Avenir Next LT Pro" w:hAnsi="Avenir Next LT Pro" w:eastAsia="Times New Roman" w:cs="Times New Roman"/>
          <w:color w:val="203242"/>
        </w:rPr>
      </w:r>
    </w:p>
    <w:p w14:paraId="585C1785" w14:textId="77777777"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 w14:paraId="585C1786" w14:textId="77777777">
      <w:pPr>
        <w:pBdr/>
        <w:spacing w:after="0" w:line="240" w:lineRule="auto"/>
        <w:ind w:hanging="2124" w:left="2124"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b/>
          <w:color w:val="203242"/>
        </w:rPr>
        <w:t xml:space="preserve">ADOPTE </w:t>
      </w:r>
      <w:r>
        <w:rPr>
          <w:rFonts w:ascii="Avenir Next LT Pro" w:hAnsi="Avenir Next LT Pro" w:eastAsia="Times New Roman" w:cs="Times New Roman"/>
          <w:color w:val="203242"/>
        </w:rPr>
        <w:tab/>
      </w:r>
      <w:r>
        <w:rPr>
          <w:rFonts w:ascii="Avenir Next LT Pro" w:hAnsi="Avenir Next LT Pro" w:eastAsia="Times New Roman" w:cs="Times New Roman"/>
          <w:color w:val="203242"/>
        </w:rPr>
        <w:tab/>
        <w:t xml:space="preserve">- les propositions du Maire relatives à l’instauration de l</w:t>
      </w:r>
      <w:r>
        <w:rPr>
          <w:rFonts w:ascii="Avenir Next LT Pro" w:hAnsi="Avenir Next LT Pro" w:eastAsia="Times New Roman" w:cs="Times New Roman"/>
          <w:bCs/>
          <w:color w:val="203242"/>
        </w:rPr>
        <w:t xml:space="preserve">’I</w:t>
      </w:r>
      <w:r>
        <w:rPr>
          <w:rFonts w:ascii="Avenir Next LT Pro" w:hAnsi="Avenir Next LT Pro" w:cs="Arial"/>
          <w:bCs/>
          <w:color w:val="203242"/>
        </w:rPr>
        <w:t xml:space="preserve">nd</w:t>
      </w:r>
      <w:r>
        <w:rPr>
          <w:rFonts w:ascii="Avenir Next LT Pro" w:hAnsi="Avenir Next LT Pro" w:cs="Arial"/>
          <w:color w:val="203242"/>
        </w:rPr>
        <w:t xml:space="preserve">emnité Forfaitaire Complémentaire pour Élections (IFCE) dans les conditions susmentionnées.</w:t>
      </w:r>
      <w:r>
        <w:rPr>
          <w:rFonts w:ascii="Avenir Next LT Pro" w:hAnsi="Avenir Next LT Pro" w:eastAsia="Times New Roman" w:cs="Times New Roman"/>
          <w:color w:val="203242"/>
        </w:rPr>
      </w:r>
    </w:p>
    <w:p w14:paraId="585C1787" w14:textId="77777777"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  <w:tab/>
      </w:r>
      <w:r>
        <w:rPr>
          <w:rFonts w:ascii="Avenir Next LT Pro" w:hAnsi="Avenir Next LT Pro" w:eastAsia="Times New Roman" w:cs="Times New Roman"/>
          <w:color w:val="203242"/>
        </w:rPr>
      </w:r>
    </w:p>
    <w:p w14:paraId="585C1788" w14:textId="77777777"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  <w:tab/>
      </w:r>
      <w:r>
        <w:rPr>
          <w:rFonts w:ascii="Avenir Next LT Pro" w:hAnsi="Avenir Next LT Pro" w:eastAsia="Times New Roman" w:cs="Times New Roman"/>
          <w:color w:val="203242"/>
        </w:rPr>
        <w:tab/>
      </w:r>
      <w:r>
        <w:rPr>
          <w:rFonts w:ascii="Avenir Next LT Pro" w:hAnsi="Avenir Next LT Pro" w:eastAsia="Times New Roman" w:cs="Times New Roman"/>
          <w:color w:val="203242"/>
        </w:rPr>
        <w:tab/>
      </w:r>
      <w:r>
        <w:rPr>
          <w:rFonts w:ascii="Avenir Next LT Pro" w:hAnsi="Avenir Next LT Pro" w:eastAsia="Times New Roman" w:cs="Times New Roman"/>
          <w:color w:val="203242"/>
        </w:rPr>
      </w:r>
    </w:p>
    <w:p w14:paraId="585C1789" w14:textId="3946CD53">
      <w:pPr>
        <w:pBdr/>
        <w:spacing w:after="0" w:line="240" w:lineRule="auto"/>
        <w:ind w:hanging="2124" w:left="2124"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b/>
          <w:color w:val="203242"/>
        </w:rPr>
        <w:t xml:space="preserve">PRÉCISE</w:t>
      </w:r>
      <w:r>
        <w:rPr>
          <w:rFonts w:ascii="Avenir Next LT Pro" w:hAnsi="Avenir Next LT Pro" w:eastAsia="Times New Roman" w:cs="Times New Roman"/>
          <w:color w:val="203242"/>
        </w:rPr>
        <w:tab/>
      </w:r>
      <w:r>
        <w:rPr>
          <w:rFonts w:ascii="Avenir Next LT Pro" w:hAnsi="Avenir Next LT Pro" w:eastAsia="Times New Roman" w:cs="Times New Roman"/>
          <w:color w:val="203242"/>
        </w:rPr>
        <w:tab/>
        <w:t xml:space="preserve">- que les dispositions de la présente délibération prendront effet au…</w:t>
      </w:r>
      <w:r>
        <w:rPr>
          <w:rFonts w:ascii="Avenir Next LT Pro" w:hAnsi="Avenir Next LT Pro" w:eastAsia="Times New Roman" w:cs="Times New Roman"/>
          <w:color w:val="203242"/>
        </w:rPr>
        <w:t xml:space="preserve">……</w:t>
      </w:r>
      <w:r>
        <w:rPr>
          <w:rFonts w:ascii="Avenir Next LT Pro" w:hAnsi="Avenir Next LT Pro" w:eastAsia="Times New Roman" w:cs="Times New Roman"/>
          <w:color w:val="203242"/>
        </w:rPr>
        <w:t xml:space="preserve">.  </w:t>
      </w:r>
      <w:r>
        <w:rPr>
          <w:rFonts w:ascii="Avenir Next LT Pro" w:hAnsi="Avenir Next LT Pro" w:eastAsia="Times New Roman" w:cs="Times New Roman"/>
        </w:rPr>
        <w:t xml:space="preserve">(</w:t>
      </w:r>
      <w:r>
        <w:rPr>
          <w:rFonts w:ascii="Avenir Next LT Pro" w:hAnsi="Avenir Next LT Pro" w:eastAsia="Times New Roman" w:cs="Times New Roman"/>
          <w:i/>
          <w:iCs/>
          <w:color w:val="4f81bd"/>
        </w:rPr>
        <w:t xml:space="preserve">Au plus tôt la date de transmission au contrôle de légalité</w:t>
      </w:r>
      <w:r>
        <w:rPr>
          <w:rFonts w:ascii="Avenir Next LT Pro" w:hAnsi="Avenir Next LT Pro" w:eastAsia="Times New Roman" w:cs="Times New Roman"/>
          <w:color w:val="203242"/>
        </w:rPr>
        <w:t xml:space="preserve">),</w:t>
      </w:r>
      <w:r>
        <w:rPr>
          <w:rFonts w:ascii="Avenir Next LT Pro" w:hAnsi="Avenir Next LT Pro" w:eastAsia="Times New Roman" w:cs="Times New Roman"/>
          <w:color w:val="203242"/>
        </w:rPr>
      </w:r>
    </w:p>
    <w:p w14:paraId="585C178A" w14:textId="77777777"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 w14:paraId="585C178B" w14:textId="77777777"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  <w:tab/>
      </w:r>
      <w:r>
        <w:rPr>
          <w:rFonts w:ascii="Avenir Next LT Pro" w:hAnsi="Avenir Next LT Pro" w:eastAsia="Times New Roman" w:cs="Times New Roman"/>
          <w:color w:val="203242"/>
        </w:rPr>
        <w:tab/>
      </w:r>
      <w:r>
        <w:rPr>
          <w:rFonts w:ascii="Avenir Next LT Pro" w:hAnsi="Avenir Next LT Pro" w:eastAsia="Times New Roman" w:cs="Times New Roman"/>
          <w:color w:val="203242"/>
        </w:rPr>
        <w:tab/>
        <w:t xml:space="preserve">- que les crédits suffisants sont prévus au budget de l’exercice.</w:t>
      </w:r>
      <w:r>
        <w:rPr>
          <w:rFonts w:ascii="Avenir Next LT Pro" w:hAnsi="Avenir Next LT Pro" w:eastAsia="Times New Roman" w:cs="Times New Roman"/>
          <w:color w:val="203242"/>
        </w:rPr>
      </w:r>
    </w:p>
    <w:p w14:paraId="585C178C" w14:textId="77777777"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 w14:paraId="585C178D" w14:textId="77777777">
      <w:pPr>
        <w:pBdr/>
        <w:spacing w:after="0" w:line="240" w:lineRule="auto"/>
        <w:ind/>
        <w:jc w:val="both"/>
        <w:rPr>
          <w:rFonts w:ascii="Avenir Next LT Pro" w:hAnsi="Avenir Next LT Pro" w:eastAsia="Times New Roman" w:cs="Times New Roman"/>
          <w:color w:val="203242"/>
        </w:rPr>
      </w:pPr>
      <w:r>
        <w:rPr>
          <w:rFonts w:ascii="Avenir Next LT Pro" w:hAnsi="Avenir Next LT Pro" w:eastAsia="Times New Roman" w:cs="Times New Roman"/>
          <w:color w:val="203242"/>
        </w:rPr>
      </w:r>
      <w:r>
        <w:rPr>
          <w:rFonts w:ascii="Avenir Next LT Pro" w:hAnsi="Avenir Next LT Pro" w:eastAsia="Times New Roman" w:cs="Times New Roman"/>
          <w:color w:val="203242"/>
        </w:rPr>
      </w:r>
    </w:p>
    <w:p w14:paraId="585C178E" w14:textId="77777777">
      <w:pPr>
        <w:pBdr/>
        <w:spacing/>
        <w:ind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 xml:space="preserve">Le Maire,</w:t>
      </w:r>
      <w:r>
        <w:rPr>
          <w:rFonts w:ascii="Avenir Next LT Pro" w:hAnsi="Avenir Next LT Pro" w:cs="Arial"/>
          <w:color w:val="203242"/>
        </w:rPr>
      </w:r>
    </w:p>
    <w:p w14:paraId="585C178F" w14:textId="77777777">
      <w:pPr>
        <w:pBdr/>
        <w:spacing/>
        <w:ind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 xml:space="preserve">-    certifie sous sa responsabilité le caractère exécutoire de cet acte, </w:t>
      </w:r>
      <w:r>
        <w:rPr>
          <w:rFonts w:ascii="Avenir Next LT Pro" w:hAnsi="Avenir Next LT Pro" w:cs="Arial"/>
          <w:color w:val="203242"/>
        </w:rPr>
      </w:r>
    </w:p>
    <w:p w14:paraId="585C1790" w14:textId="3D615481">
      <w:pPr>
        <w:pBdr/>
        <w:spacing/>
        <w:ind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 xml:space="preserve">- </w:t>
      </w:r>
      <w:r>
        <w:rPr>
          <w:rFonts w:ascii="Avenir Next LT Pro" w:hAnsi="Avenir Next LT Pro" w:cs="Arial"/>
          <w:color w:val="203242"/>
        </w:rPr>
        <w:t xml:space="preserve">   informe que la présente délibération peut faire l'objet d'un recours pour excès de pouvoir devant le Tribunal Administratif de........................... dans un délai de 2 mois à compter de sa réception par le représentant de l'État et sa publication. </w:t>
      </w:r>
      <w:r>
        <w:rPr>
          <w:rFonts w:ascii="Avenir Next LT Pro" w:hAnsi="Avenir Next LT Pro" w:cs="Arial"/>
          <w:color w:val="203242"/>
        </w:rPr>
        <w:t xml:space="preserve">La requête peut être déposée sur le site </w:t>
      </w:r>
      <w:hyperlink r:id="rId13" w:tooltip="http://www.telerecours.fr" w:history="1">
        <w:r>
          <w:rPr>
            <w:rStyle w:val="898"/>
            <w:rFonts w:ascii="Avenir Next LT Pro" w:hAnsi="Avenir Next LT Pro" w:cs="Arial"/>
          </w:rPr>
          <w:t xml:space="preserve">www.telerecours.fr</w:t>
        </w:r>
      </w:hyperlink>
      <w:r>
        <w:rPr>
          <w:rFonts w:ascii="Avenir Next LT Pro" w:hAnsi="Avenir Next LT Pro" w:cs="Arial"/>
          <w:color w:val="203242"/>
        </w:rPr>
        <w:t xml:space="preserve">.</w:t>
      </w:r>
      <w:r>
        <w:rPr>
          <w:rFonts w:ascii="Avenir Next LT Pro" w:hAnsi="Avenir Next LT Pro" w:cs="Arial"/>
          <w:color w:val="203242"/>
        </w:rPr>
      </w:r>
    </w:p>
    <w:p w14:paraId="585C1791" w14:textId="77777777">
      <w:pPr>
        <w:pBdr/>
        <w:spacing/>
        <w:ind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</w:r>
      <w:r>
        <w:rPr>
          <w:rFonts w:ascii="Avenir Next LT Pro" w:hAnsi="Avenir Next LT Pro" w:cs="Arial"/>
          <w:color w:val="203242"/>
        </w:rPr>
      </w:r>
    </w:p>
    <w:p w14:paraId="585C1792" w14:textId="77777777">
      <w:pPr>
        <w:pBdr/>
        <w:spacing/>
        <w:ind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 xml:space="preserve">                                                                                                             Fait à……………,</w:t>
      </w:r>
      <w:r>
        <w:rPr>
          <w:rFonts w:ascii="Avenir Next LT Pro" w:hAnsi="Avenir Next LT Pro" w:cs="Arial"/>
          <w:color w:val="203242"/>
        </w:rPr>
      </w:r>
    </w:p>
    <w:p w14:paraId="585C1793" w14:textId="77777777">
      <w:pPr>
        <w:pBdr/>
        <w:spacing/>
        <w:ind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 xml:space="preserve">PUBLIÉE LE :</w:t>
      </w:r>
      <w:r>
        <w:rPr>
          <w:rFonts w:ascii="Avenir Next LT Pro" w:hAnsi="Avenir Next LT Pro" w:cs="Arial"/>
          <w:color w:val="203242"/>
        </w:rPr>
      </w:r>
    </w:p>
    <w:p w14:paraId="585C1794" w14:textId="77777777">
      <w:pPr>
        <w:pBdr/>
        <w:spacing/>
        <w:ind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 xml:space="preserve">                                                                                                             Le ........................,</w:t>
      </w:r>
      <w:r>
        <w:rPr>
          <w:rFonts w:ascii="Avenir Next LT Pro" w:hAnsi="Avenir Next LT Pro" w:cs="Arial"/>
          <w:color w:val="203242"/>
        </w:rPr>
      </w:r>
    </w:p>
    <w:p w14:paraId="585C1795" w14:textId="77777777">
      <w:pPr>
        <w:pBdr/>
        <w:spacing/>
        <w:ind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</w:r>
      <w:r>
        <w:rPr>
          <w:rFonts w:ascii="Avenir Next LT Pro" w:hAnsi="Avenir Next LT Pro" w:cs="Arial"/>
          <w:color w:val="203242"/>
        </w:rPr>
      </w:r>
    </w:p>
    <w:p w14:paraId="585C1796" w14:textId="77777777">
      <w:pPr>
        <w:pBdr/>
        <w:spacing/>
        <w:ind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</w:r>
      <w:r>
        <w:rPr>
          <w:rFonts w:ascii="Avenir Next LT Pro" w:hAnsi="Avenir Next LT Pro" w:cs="Arial"/>
          <w:color w:val="203242"/>
        </w:rPr>
      </w:r>
    </w:p>
    <w:p w14:paraId="585C1797" w14:textId="77777777">
      <w:pPr>
        <w:pBdr/>
        <w:spacing/>
        <w:ind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 xml:space="preserve">                                                                                                             Le Maire,</w:t>
      </w:r>
      <w:r>
        <w:rPr>
          <w:rFonts w:ascii="Avenir Next LT Pro" w:hAnsi="Avenir Next LT Pro" w:cs="Arial"/>
          <w:color w:val="203242"/>
        </w:rPr>
      </w:r>
    </w:p>
    <w:p w14:paraId="585C1798" w14:textId="77777777">
      <w:pPr>
        <w:pBdr/>
        <w:spacing/>
        <w:ind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 xml:space="preserve">                                                                                                           </w:t>
      </w:r>
      <w:r>
        <w:rPr>
          <w:rFonts w:ascii="Avenir Next LT Pro" w:hAnsi="Avenir Next LT Pro" w:cs="Arial"/>
          <w:color w:val="203242"/>
        </w:rPr>
      </w:r>
    </w:p>
    <w:p w14:paraId="585C1799" w14:textId="77777777">
      <w:p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585C179A" w14:textId="77777777">
      <w:pPr>
        <w:pBdr/>
        <w:spacing/>
        <w:ind/>
        <w:jc w:val="both"/>
        <w:rPr>
          <w:rFonts w:ascii="Avenir Next LT Pro" w:hAnsi="Avenir Next LT Pro" w:cs="Arial"/>
        </w:rPr>
      </w:pPr>
      <w:r>
        <w:rPr>
          <w:rFonts w:ascii="Avenir Next LT Pro" w:hAnsi="Avenir Next LT Pro" w:cs="Arial"/>
        </w:rPr>
      </w:r>
      <w:r>
        <w:rPr>
          <w:rFonts w:ascii="Avenir Next LT Pro" w:hAnsi="Avenir Next LT Pro" w:cs="Arial"/>
        </w:rPr>
      </w:r>
    </w:p>
    <w:p w14:paraId="585C179B" w14:textId="77777777">
      <w:pPr>
        <w:pBdr/>
        <w:spacing w:after="0" w:line="240" w:lineRule="auto"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sectPr>
      <w:footnotePr/>
      <w:endnotePr/>
      <w:type w:val="nextPage"/>
      <w:pgSz w:h="16838" w:orient="portrait" w:w="11906"/>
      <w:pgMar w:top="851" w:right="1134" w:bottom="1134" w:left="992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637752B7" w14:textId="77777777"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 w14:paraId="560F3525" w14:textId="77777777"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B0603030804020204"/>
  </w:font>
  <w:font w:name="Gellix Medium">
    <w:panose1 w:val="020B0603030804020204"/>
  </w:font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venir Next LT Pro">
    <w:panose1 w:val="020B06030308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0C250163" w14:textId="77777777"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 w14:paraId="24AF69AE" w14:textId="77777777"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910D5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venir Next LT Pro" w:hAnsi="Avenir Next LT Pro" w:eastAsiaTheme="minorHAnsi" w:cstheme="minorBid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nsid w:val="1AD347BB"/>
    <w:lvl w:ilvl="0">
      <w:isLgl w:val="false"/>
      <w:lvlJc w:val="left"/>
      <w:lvlText w:val="-"/>
      <w:numFmt w:val="bullet"/>
      <w:pPr>
        <w:pBdr/>
        <w:spacing/>
        <w:ind w:hanging="360" w:left="1429"/>
      </w:pPr>
      <w:rPr>
        <w:rFonts w:hint="default" w:ascii="Avenir Next LT Pro" w:hAnsi="Avenir Next LT Pro" w:eastAsia="Times New Roman" w:cs="Times New Roman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9"/>
      </w:pPr>
      <w:rPr>
        <w:rFonts w:hint="default" w:ascii="Wingdings" w:hAnsi="Wingdings"/>
      </w:rPr>
      <w:start w:val="1"/>
      <w:suff w:val="tab"/>
    </w:lvl>
  </w:abstractNum>
  <w:abstractNum w:abstractNumId="2">
    <w:nsid w:val="253939CB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nsid w:val="2F1752ED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 w:eastAsia="Times New Roman" w:cs="Arial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nsid w:val="308C1EE5"/>
    <w:lvl w:ilvl="0">
      <w:isLgl w:val="false"/>
      <w:lvlJc w:val="left"/>
      <w:lvlText w:val=""/>
      <w:numFmt w:val="bullet"/>
      <w:pPr>
        <w:pBdr/>
        <w:spacing/>
        <w:ind w:hanging="360" w:left="78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5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2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9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1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8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540"/>
      </w:pPr>
      <w:rPr>
        <w:rFonts w:hint="default" w:ascii="Wingdings" w:hAnsi="Wingdings"/>
      </w:rPr>
      <w:start w:val="1"/>
      <w:suff w:val="tab"/>
    </w:lvl>
  </w:abstractNum>
  <w:abstractNum w:abstractNumId="5">
    <w:nsid w:val="31F41413"/>
    <w:lvl w:ilvl="0">
      <w:isLgl w:val="false"/>
      <w:lvlJc w:val="left"/>
      <w:lvlText w:val="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426500A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nsid w:val="5009327F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nsid w:val="5FF21A19"/>
    <w:lvl w:ilvl="0">
      <w:isLgl w:val="false"/>
      <w:lvlJc w:val="left"/>
      <w:lvlText w:val=""/>
      <w:numFmt w:val="bullet"/>
      <w:pPr>
        <w:pBdr/>
        <w:spacing/>
        <w:ind w:hanging="360" w:left="862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582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02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22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742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462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182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02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22"/>
      </w:pPr>
      <w:rPr>
        <w:rFonts w:hint="default" w:ascii="Wingdings" w:hAnsi="Wingdings"/>
      </w:rPr>
      <w:start w:val="1"/>
      <w:suff w:val="tab"/>
    </w:lvl>
  </w:abstractNum>
  <w:abstractNum w:abstractNumId="9">
    <w:nsid w:val="610E3215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venir Next LT Pro" w:hAnsi="Avenir Next LT Pro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0">
    <w:nsid w:val="64153F3B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1">
    <w:nsid w:val="70D3295D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 w:eastAsia="Times New Roman" w:cs="Arial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0"/>
  </w:num>
  <w:num w:numId="5">
    <w:abstractNumId w:val="11"/>
  </w:num>
  <w:num w:numId="6">
    <w:abstractNumId w:val="3"/>
  </w:num>
  <w:num w:numId="7">
    <w:abstractNumId w:val="1"/>
  </w:num>
  <w:num w:numId="8">
    <w:abstractNumId w:val="2"/>
  </w:num>
  <w:num w:numId="9">
    <w:abstractNumId w:val="5"/>
  </w:num>
  <w:num w:numId="10">
    <w:abstractNumId w:val="0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4" w:default="1">
    <w:name w:val="Normal"/>
    <w:qFormat/>
    <w:pPr>
      <w:pBdr/>
      <w:spacing/>
      <w:ind/>
    </w:pPr>
  </w:style>
  <w:style w:type="paragraph" w:styleId="725">
    <w:name w:val="Heading 1"/>
    <w:basedOn w:val="724"/>
    <w:next w:val="724"/>
    <w:link w:val="91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726">
    <w:name w:val="Heading 2"/>
    <w:basedOn w:val="724"/>
    <w:next w:val="724"/>
    <w:link w:val="912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727">
    <w:name w:val="Heading 3"/>
    <w:basedOn w:val="724"/>
    <w:next w:val="724"/>
    <w:link w:val="913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728">
    <w:name w:val="Heading 4"/>
    <w:basedOn w:val="724"/>
    <w:next w:val="724"/>
    <w:link w:val="914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729">
    <w:name w:val="Heading 5"/>
    <w:basedOn w:val="724"/>
    <w:next w:val="724"/>
    <w:link w:val="915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2f5496" w:themeColor="accent1" w:themeShade="BF"/>
    </w:rPr>
  </w:style>
  <w:style w:type="paragraph" w:styleId="730">
    <w:name w:val="Heading 6"/>
    <w:basedOn w:val="724"/>
    <w:next w:val="724"/>
    <w:link w:val="916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31">
    <w:name w:val="Heading 7"/>
    <w:basedOn w:val="724"/>
    <w:next w:val="724"/>
    <w:link w:val="917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Theme="majorEastAsia" w:cstheme="majorBidi"/>
      <w:color w:val="595959" w:themeColor="text1" w:themeTint="A6"/>
    </w:rPr>
  </w:style>
  <w:style w:type="paragraph" w:styleId="732">
    <w:name w:val="Heading 8"/>
    <w:basedOn w:val="724"/>
    <w:next w:val="724"/>
    <w:link w:val="918"/>
    <w:uiPriority w:val="9"/>
    <w:semiHidden/>
    <w:unhideWhenUsed/>
    <w:qFormat/>
    <w:pPr>
      <w:keepNext w:val="true"/>
      <w:keepLines w:val="true"/>
      <w:pBdr/>
      <w:spacing w:after="0"/>
      <w:ind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733">
    <w:name w:val="Heading 9"/>
    <w:basedOn w:val="724"/>
    <w:next w:val="724"/>
    <w:link w:val="919"/>
    <w:uiPriority w:val="9"/>
    <w:semiHidden/>
    <w:unhideWhenUsed/>
    <w:qFormat/>
    <w:pPr>
      <w:keepNext w:val="true"/>
      <w:keepLines w:val="true"/>
      <w:pBdr/>
      <w:spacing w:after="0"/>
      <w:ind/>
      <w:outlineLvl w:val="8"/>
    </w:pPr>
    <w:rPr>
      <w:rFonts w:eastAsiaTheme="majorEastAsia" w:cstheme="majorBidi"/>
      <w:color w:val="272727" w:themeColor="text1" w:themeTint="D8"/>
    </w:rPr>
  </w:style>
  <w:style w:type="character" w:styleId="734" w:default="1">
    <w:name w:val="Default Paragraph Font"/>
    <w:uiPriority w:val="1"/>
    <w:semiHidden/>
    <w:unhideWhenUsed/>
    <w:pPr>
      <w:pBdr/>
      <w:spacing/>
      <w:ind/>
    </w:pPr>
  </w:style>
  <w:style w:type="table" w:styleId="73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6" w:default="1">
    <w:name w:val="No List"/>
    <w:uiPriority w:val="99"/>
    <w:semiHidden/>
    <w:unhideWhenUsed/>
    <w:pPr>
      <w:pBdr/>
      <w:spacing/>
      <w:ind/>
    </w:pPr>
  </w:style>
  <w:style w:type="character" w:styleId="737">
    <w:name w:val="Placeholder Text"/>
    <w:basedOn w:val="734"/>
    <w:uiPriority w:val="99"/>
    <w:semiHidden/>
    <w:pPr>
      <w:pBdr/>
      <w:spacing/>
      <w:ind/>
    </w:pPr>
    <w:rPr>
      <w:color w:val="666666"/>
    </w:rPr>
  </w:style>
  <w:style w:type="character" w:styleId="738" w:customStyle="1">
    <w:name w:val="Header Char"/>
    <w:basedOn w:val="734"/>
    <w:uiPriority w:val="99"/>
    <w:pPr>
      <w:pBdr/>
      <w:spacing/>
      <w:ind/>
    </w:pPr>
  </w:style>
  <w:style w:type="character" w:styleId="739" w:customStyle="1">
    <w:name w:val="Footer Char"/>
    <w:basedOn w:val="734"/>
    <w:uiPriority w:val="99"/>
    <w:pPr>
      <w:pBdr/>
      <w:spacing/>
      <w:ind/>
    </w:pPr>
  </w:style>
  <w:style w:type="character" w:styleId="740" w:customStyle="1">
    <w:name w:val="Footnote Text Char"/>
    <w:basedOn w:val="734"/>
    <w:uiPriority w:val="99"/>
    <w:semiHidden/>
    <w:pPr>
      <w:pBdr/>
      <w:spacing/>
      <w:ind/>
    </w:pPr>
    <w:rPr>
      <w:sz w:val="20"/>
      <w:szCs w:val="20"/>
    </w:rPr>
  </w:style>
  <w:style w:type="character" w:styleId="741" w:customStyle="1">
    <w:name w:val="Endnote Text Char"/>
    <w:basedOn w:val="734"/>
    <w:uiPriority w:val="99"/>
    <w:semiHidden/>
    <w:pPr>
      <w:pBdr/>
      <w:spacing/>
      <w:ind/>
    </w:pPr>
    <w:rPr>
      <w:sz w:val="20"/>
      <w:szCs w:val="20"/>
    </w:rPr>
  </w:style>
  <w:style w:type="table" w:styleId="742">
    <w:name w:val="Table Grid"/>
    <w:basedOn w:val="735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Table Grid Light"/>
    <w:basedOn w:val="73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1"/>
    <w:basedOn w:val="73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2"/>
    <w:basedOn w:val="735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Plain Table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Plain Table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Plain Table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1 Light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1 Light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1 Light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1 Light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1 Light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1 Light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2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2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2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2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2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2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3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3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3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3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3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3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4 - Accent 1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4 - Accent 2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4 - Accent 3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4 - Accent 4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4 - Accent 5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4 - Accent 6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5 Dark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5 Dark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5 Dark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5 Dark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5 Dark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5 Dark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6 Colorful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6 Colorful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6 Colorful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6 Colorful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6 Colorful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6 Colorful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7 Colorful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7 Colorful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7 Colorful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7 Colorful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7 Colorful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7 Colorful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1 Light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1 Light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1 Light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1 Light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1 Light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1 Light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2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2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2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2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2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2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3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3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3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3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3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3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4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4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4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4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4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4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5 Dark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5 Dark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5 Dark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5 Dark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5 Dark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5 Dark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6 Colorful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6 Colorful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6 Colorful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6 Colorful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6 Colorful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6 Colorful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7 Colorful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7 Colorful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7 Colorful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7 Colorful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7 Colorful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7 Colorful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ned - Accent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ned - Accent 1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ned - Accent 2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ned - Accent 3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ned - Accent 4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ned - Accent 5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ned - Accent 6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Bordered &amp; Lined - Accent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Bordered &amp; Lined - Accent 1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Bordered &amp; Lined - Accent 2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Bordered &amp; Lined - Accent 3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&amp; Lined - Accent 4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 &amp; Lined - Accent 5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 &amp; Lined - Accent 6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Bordered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8" w:customStyle="1">
    <w:name w:val="Heading 1 Char"/>
    <w:basedOn w:val="734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character" w:styleId="869" w:customStyle="1">
    <w:name w:val="Heading 2 Char"/>
    <w:basedOn w:val="734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character" w:styleId="870" w:customStyle="1">
    <w:name w:val="Heading 3 Char"/>
    <w:basedOn w:val="734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character" w:styleId="871" w:customStyle="1">
    <w:name w:val="Heading 4 Char"/>
    <w:basedOn w:val="734"/>
    <w:uiPriority w:val="9"/>
    <w:pPr>
      <w:pBdr/>
      <w:spacing/>
      <w:ind/>
    </w:pPr>
    <w:rPr>
      <w:rFonts w:ascii="Arial" w:hAnsi="Arial" w:eastAsia="Arial" w:cs="Arial"/>
      <w:i/>
      <w:iCs/>
      <w:color w:val="2f5496" w:themeColor="accent1" w:themeShade="BF"/>
    </w:rPr>
  </w:style>
  <w:style w:type="character" w:styleId="872" w:customStyle="1">
    <w:name w:val="Heading 5 Char"/>
    <w:basedOn w:val="734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</w:rPr>
  </w:style>
  <w:style w:type="character" w:styleId="873" w:customStyle="1">
    <w:name w:val="Heading 6 Char"/>
    <w:basedOn w:val="73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4" w:customStyle="1">
    <w:name w:val="Heading 7 Char"/>
    <w:basedOn w:val="73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5" w:customStyle="1">
    <w:name w:val="Heading 8 Char"/>
    <w:basedOn w:val="7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6" w:customStyle="1">
    <w:name w:val="Heading 9 Char"/>
    <w:basedOn w:val="7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7" w:customStyle="1">
    <w:name w:val="Title Char"/>
    <w:basedOn w:val="73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78" w:customStyle="1">
    <w:name w:val="Subtitle Char"/>
    <w:basedOn w:val="73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9" w:customStyle="1">
    <w:name w:val="Quote Char"/>
    <w:basedOn w:val="73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0" w:customStyle="1">
    <w:name w:val="Intense Quote Char"/>
    <w:basedOn w:val="734"/>
    <w:uiPriority w:val="30"/>
    <w:pPr>
      <w:pBdr/>
      <w:spacing/>
      <w:ind/>
    </w:pPr>
    <w:rPr>
      <w:i/>
      <w:iCs/>
      <w:color w:val="2f5496" w:themeColor="accent1" w:themeShade="BF"/>
    </w:rPr>
  </w:style>
  <w:style w:type="paragraph" w:styleId="881">
    <w:name w:val="No Spacing"/>
    <w:basedOn w:val="724"/>
    <w:uiPriority w:val="1"/>
    <w:qFormat/>
    <w:pPr>
      <w:pBdr/>
      <w:spacing w:after="0" w:line="240" w:lineRule="auto"/>
      <w:ind/>
    </w:pPr>
  </w:style>
  <w:style w:type="character" w:styleId="882">
    <w:name w:val="Subtle Emphasis"/>
    <w:basedOn w:val="73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3">
    <w:name w:val="Emphasis"/>
    <w:basedOn w:val="734"/>
    <w:uiPriority w:val="20"/>
    <w:qFormat/>
    <w:pPr>
      <w:pBdr/>
      <w:spacing/>
      <w:ind/>
    </w:pPr>
    <w:rPr>
      <w:i/>
      <w:iCs/>
    </w:rPr>
  </w:style>
  <w:style w:type="character" w:styleId="884">
    <w:name w:val="Strong"/>
    <w:basedOn w:val="734"/>
    <w:uiPriority w:val="22"/>
    <w:qFormat/>
    <w:pPr>
      <w:pBdr/>
      <w:spacing/>
      <w:ind/>
    </w:pPr>
    <w:rPr>
      <w:b/>
      <w:bCs/>
    </w:rPr>
  </w:style>
  <w:style w:type="character" w:styleId="885">
    <w:name w:val="Subtle Reference"/>
    <w:basedOn w:val="73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6">
    <w:name w:val="Book Title"/>
    <w:basedOn w:val="73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87">
    <w:name w:val="Header"/>
    <w:basedOn w:val="724"/>
    <w:link w:val="88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8" w:customStyle="1">
    <w:name w:val="En-tête Car"/>
    <w:basedOn w:val="734"/>
    <w:link w:val="887"/>
    <w:uiPriority w:val="99"/>
    <w:pPr>
      <w:pBdr/>
      <w:spacing/>
      <w:ind/>
    </w:pPr>
  </w:style>
  <w:style w:type="paragraph" w:styleId="889">
    <w:name w:val="Footer"/>
    <w:basedOn w:val="724"/>
    <w:link w:val="89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0" w:customStyle="1">
    <w:name w:val="Pied de page Car"/>
    <w:basedOn w:val="734"/>
    <w:link w:val="889"/>
    <w:uiPriority w:val="99"/>
    <w:pPr>
      <w:pBdr/>
      <w:spacing/>
      <w:ind/>
    </w:pPr>
  </w:style>
  <w:style w:type="paragraph" w:styleId="891">
    <w:name w:val="Caption"/>
    <w:basedOn w:val="724"/>
    <w:next w:val="724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</w:rPr>
  </w:style>
  <w:style w:type="paragraph" w:styleId="892">
    <w:name w:val="footnote text"/>
    <w:basedOn w:val="724"/>
    <w:link w:val="89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3" w:customStyle="1">
    <w:name w:val="Note de bas de page Car"/>
    <w:basedOn w:val="734"/>
    <w:link w:val="892"/>
    <w:uiPriority w:val="99"/>
    <w:semiHidden/>
    <w:pPr>
      <w:pBdr/>
      <w:spacing/>
      <w:ind/>
    </w:pPr>
    <w:rPr>
      <w:sz w:val="20"/>
      <w:szCs w:val="20"/>
    </w:rPr>
  </w:style>
  <w:style w:type="character" w:styleId="894">
    <w:name w:val="footnote reference"/>
    <w:basedOn w:val="734"/>
    <w:uiPriority w:val="99"/>
    <w:semiHidden/>
    <w:unhideWhenUsed/>
    <w:pPr>
      <w:pBdr/>
      <w:spacing/>
      <w:ind/>
    </w:pPr>
    <w:rPr>
      <w:vertAlign w:val="superscript"/>
    </w:rPr>
  </w:style>
  <w:style w:type="paragraph" w:styleId="895">
    <w:name w:val="endnote text"/>
    <w:basedOn w:val="724"/>
    <w:link w:val="89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6" w:customStyle="1">
    <w:name w:val="Note de fin Car"/>
    <w:basedOn w:val="734"/>
    <w:link w:val="895"/>
    <w:uiPriority w:val="99"/>
    <w:semiHidden/>
    <w:pPr>
      <w:pBdr/>
      <w:spacing/>
      <w:ind/>
    </w:pPr>
    <w:rPr>
      <w:sz w:val="20"/>
      <w:szCs w:val="20"/>
    </w:rPr>
  </w:style>
  <w:style w:type="character" w:styleId="897">
    <w:name w:val="endnote reference"/>
    <w:basedOn w:val="734"/>
    <w:uiPriority w:val="99"/>
    <w:semiHidden/>
    <w:unhideWhenUsed/>
    <w:pPr>
      <w:pBdr/>
      <w:spacing/>
      <w:ind/>
    </w:pPr>
    <w:rPr>
      <w:vertAlign w:val="superscript"/>
    </w:rPr>
  </w:style>
  <w:style w:type="character" w:styleId="898">
    <w:name w:val="Hyperlink"/>
    <w:basedOn w:val="73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99">
    <w:name w:val="FollowedHyperlink"/>
    <w:basedOn w:val="73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0">
    <w:name w:val="toc 1"/>
    <w:basedOn w:val="724"/>
    <w:next w:val="724"/>
    <w:uiPriority w:val="39"/>
    <w:unhideWhenUsed/>
    <w:pPr>
      <w:pBdr/>
      <w:spacing w:after="100"/>
      <w:ind/>
    </w:pPr>
  </w:style>
  <w:style w:type="paragraph" w:styleId="901">
    <w:name w:val="toc 2"/>
    <w:basedOn w:val="724"/>
    <w:next w:val="724"/>
    <w:uiPriority w:val="39"/>
    <w:unhideWhenUsed/>
    <w:pPr>
      <w:pBdr/>
      <w:spacing w:after="100"/>
      <w:ind w:left="220"/>
    </w:pPr>
  </w:style>
  <w:style w:type="paragraph" w:styleId="902">
    <w:name w:val="toc 3"/>
    <w:basedOn w:val="724"/>
    <w:next w:val="724"/>
    <w:uiPriority w:val="39"/>
    <w:unhideWhenUsed/>
    <w:pPr>
      <w:pBdr/>
      <w:spacing w:after="100"/>
      <w:ind w:left="440"/>
    </w:pPr>
  </w:style>
  <w:style w:type="paragraph" w:styleId="903">
    <w:name w:val="toc 4"/>
    <w:basedOn w:val="724"/>
    <w:next w:val="724"/>
    <w:uiPriority w:val="39"/>
    <w:unhideWhenUsed/>
    <w:pPr>
      <w:pBdr/>
      <w:spacing w:after="100"/>
      <w:ind w:left="660"/>
    </w:pPr>
  </w:style>
  <w:style w:type="paragraph" w:styleId="904">
    <w:name w:val="toc 5"/>
    <w:basedOn w:val="724"/>
    <w:next w:val="724"/>
    <w:uiPriority w:val="39"/>
    <w:unhideWhenUsed/>
    <w:pPr>
      <w:pBdr/>
      <w:spacing w:after="100"/>
      <w:ind w:left="880"/>
    </w:pPr>
  </w:style>
  <w:style w:type="paragraph" w:styleId="905">
    <w:name w:val="toc 6"/>
    <w:basedOn w:val="724"/>
    <w:next w:val="724"/>
    <w:uiPriority w:val="39"/>
    <w:unhideWhenUsed/>
    <w:pPr>
      <w:pBdr/>
      <w:spacing w:after="100"/>
      <w:ind w:left="1100"/>
    </w:pPr>
  </w:style>
  <w:style w:type="paragraph" w:styleId="906">
    <w:name w:val="toc 7"/>
    <w:basedOn w:val="724"/>
    <w:next w:val="724"/>
    <w:uiPriority w:val="39"/>
    <w:unhideWhenUsed/>
    <w:pPr>
      <w:pBdr/>
      <w:spacing w:after="100"/>
      <w:ind w:left="1320"/>
    </w:pPr>
  </w:style>
  <w:style w:type="paragraph" w:styleId="907">
    <w:name w:val="toc 8"/>
    <w:basedOn w:val="724"/>
    <w:next w:val="724"/>
    <w:uiPriority w:val="39"/>
    <w:unhideWhenUsed/>
    <w:pPr>
      <w:pBdr/>
      <w:spacing w:after="100"/>
      <w:ind w:left="1540"/>
    </w:pPr>
  </w:style>
  <w:style w:type="paragraph" w:styleId="908">
    <w:name w:val="toc 9"/>
    <w:basedOn w:val="724"/>
    <w:next w:val="724"/>
    <w:uiPriority w:val="39"/>
    <w:unhideWhenUsed/>
    <w:pPr>
      <w:pBdr/>
      <w:spacing w:after="100"/>
      <w:ind w:left="1760"/>
    </w:pPr>
  </w:style>
  <w:style w:type="paragraph" w:styleId="909">
    <w:name w:val="TOC Heading"/>
    <w:uiPriority w:val="39"/>
    <w:unhideWhenUsed/>
    <w:pPr>
      <w:pBdr/>
      <w:spacing/>
      <w:ind/>
    </w:pPr>
  </w:style>
  <w:style w:type="paragraph" w:styleId="910">
    <w:name w:val="table of figures"/>
    <w:basedOn w:val="724"/>
    <w:next w:val="724"/>
    <w:uiPriority w:val="99"/>
    <w:unhideWhenUsed/>
    <w:pPr>
      <w:pBdr/>
      <w:spacing w:after="0"/>
      <w:ind/>
    </w:pPr>
  </w:style>
  <w:style w:type="character" w:styleId="911" w:customStyle="1">
    <w:name w:val="Titre 1 Car"/>
    <w:basedOn w:val="734"/>
    <w:link w:val="725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912" w:customStyle="1">
    <w:name w:val="Titre 2 Car"/>
    <w:basedOn w:val="734"/>
    <w:link w:val="726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913" w:customStyle="1">
    <w:name w:val="Titre 3 Car"/>
    <w:basedOn w:val="734"/>
    <w:link w:val="727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styleId="914" w:customStyle="1">
    <w:name w:val="Titre 4 Car"/>
    <w:basedOn w:val="734"/>
    <w:link w:val="728"/>
    <w:uiPriority w:val="9"/>
    <w:semiHidden/>
    <w:pPr>
      <w:pBdr/>
      <w:spacing/>
      <w:ind/>
    </w:pPr>
    <w:rPr>
      <w:rFonts w:eastAsiaTheme="majorEastAsia" w:cstheme="majorBidi"/>
      <w:i/>
      <w:iCs/>
      <w:color w:val="2f5496" w:themeColor="accent1" w:themeShade="BF"/>
    </w:rPr>
  </w:style>
  <w:style w:type="character" w:styleId="915" w:customStyle="1">
    <w:name w:val="Titre 5 Car"/>
    <w:basedOn w:val="734"/>
    <w:link w:val="729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</w:rPr>
  </w:style>
  <w:style w:type="character" w:styleId="916" w:customStyle="1">
    <w:name w:val="Titre 6 Car"/>
    <w:basedOn w:val="734"/>
    <w:link w:val="730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917" w:customStyle="1">
    <w:name w:val="Titre 7 Car"/>
    <w:basedOn w:val="734"/>
    <w:link w:val="731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918" w:customStyle="1">
    <w:name w:val="Titre 8 Car"/>
    <w:basedOn w:val="734"/>
    <w:link w:val="732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919" w:customStyle="1">
    <w:name w:val="Titre 9 Car"/>
    <w:basedOn w:val="734"/>
    <w:link w:val="733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920">
    <w:name w:val="Title"/>
    <w:basedOn w:val="724"/>
    <w:next w:val="724"/>
    <w:link w:val="921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921" w:customStyle="1">
    <w:name w:val="Titre Car"/>
    <w:basedOn w:val="734"/>
    <w:link w:val="920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922">
    <w:name w:val="Subtitle"/>
    <w:basedOn w:val="724"/>
    <w:next w:val="724"/>
    <w:link w:val="923"/>
    <w:uiPriority w:val="11"/>
    <w:qFormat/>
    <w:pPr>
      <w:numPr>
        <w:ilvl w:val="1"/>
      </w:num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923" w:customStyle="1">
    <w:name w:val="Sous-titre Car"/>
    <w:basedOn w:val="734"/>
    <w:link w:val="922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924">
    <w:name w:val="Quote"/>
    <w:basedOn w:val="724"/>
    <w:next w:val="724"/>
    <w:link w:val="92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5" w:customStyle="1">
    <w:name w:val="Citation Car"/>
    <w:basedOn w:val="734"/>
    <w:link w:val="92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26">
    <w:name w:val="List Paragraph"/>
    <w:basedOn w:val="724"/>
    <w:link w:val="934"/>
    <w:qFormat/>
    <w:pPr>
      <w:pBdr/>
      <w:spacing/>
      <w:ind w:left="720"/>
      <w:contextualSpacing w:val="true"/>
    </w:pPr>
  </w:style>
  <w:style w:type="character" w:styleId="927">
    <w:name w:val="Intense Emphasis"/>
    <w:basedOn w:val="734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928">
    <w:name w:val="Intense Quote"/>
    <w:basedOn w:val="724"/>
    <w:next w:val="724"/>
    <w:link w:val="929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929" w:customStyle="1">
    <w:name w:val="Citation intense Car"/>
    <w:basedOn w:val="734"/>
    <w:link w:val="928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930">
    <w:name w:val="Intense Reference"/>
    <w:basedOn w:val="734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paragraph" w:styleId="931">
    <w:name w:val="annotation text"/>
    <w:basedOn w:val="724"/>
    <w:link w:val="932"/>
    <w:uiPriority w:val="99"/>
    <w:unhideWhenUsed/>
    <w:pPr>
      <w:pBdr/>
      <w:spacing w:line="240" w:lineRule="auto"/>
      <w:ind/>
    </w:pPr>
    <w:rPr>
      <w:sz w:val="20"/>
      <w:szCs w:val="20"/>
    </w:rPr>
  </w:style>
  <w:style w:type="character" w:styleId="932" w:customStyle="1">
    <w:name w:val="Commentaire Car"/>
    <w:basedOn w:val="734"/>
    <w:link w:val="931"/>
    <w:uiPriority w:val="99"/>
    <w:pPr>
      <w:pBdr/>
      <w:spacing/>
      <w:ind/>
    </w:pPr>
    <w:rPr>
      <w:sz w:val="20"/>
      <w:szCs w:val="20"/>
    </w:rPr>
  </w:style>
  <w:style w:type="character" w:styleId="933">
    <w:name w:val="annotation reference"/>
    <w:basedOn w:val="734"/>
    <w:uiPriority w:val="99"/>
    <w:semiHidden/>
    <w:unhideWhenUsed/>
    <w:pPr>
      <w:pBdr/>
      <w:spacing/>
      <w:ind/>
    </w:pPr>
    <w:rPr>
      <w:sz w:val="16"/>
      <w:szCs w:val="16"/>
    </w:rPr>
  </w:style>
  <w:style w:type="character" w:styleId="934" w:customStyle="1">
    <w:name w:val="Paragraphe de liste Car"/>
    <w:basedOn w:val="734"/>
    <w:link w:val="926"/>
    <w:pPr>
      <w:pBdr/>
      <w:spacing/>
      <w:ind/>
    </w:pPr>
  </w:style>
  <w:style w:type="paragraph" w:styleId="935">
    <w:name w:val="annotation subject"/>
    <w:basedOn w:val="931"/>
    <w:next w:val="931"/>
    <w:link w:val="936"/>
    <w:uiPriority w:val="99"/>
    <w:semiHidden/>
    <w:unhideWhenUsed/>
    <w:pPr>
      <w:pBdr/>
      <w:spacing/>
      <w:ind/>
    </w:pPr>
    <w:rPr>
      <w:b/>
      <w:bCs/>
    </w:rPr>
  </w:style>
  <w:style w:type="character" w:styleId="936" w:customStyle="1">
    <w:name w:val="Objet du commentaire Car"/>
    <w:basedOn w:val="932"/>
    <w:link w:val="935"/>
    <w:uiPriority w:val="99"/>
    <w:semiHidden/>
    <w:pPr>
      <w:pBdr/>
      <w:spacing/>
      <w:ind/>
    </w:pPr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customXml" Target="../customXml/item3.xml" /><Relationship Id="rId12" Type="http://schemas.openxmlformats.org/officeDocument/2006/relationships/customXml" Target="../customXml/item4.xml" /><Relationship Id="rId13" Type="http://schemas.openxmlformats.org/officeDocument/2006/relationships/hyperlink" Target="http://www.telerecours.fr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documentManagement><yes_Detail xmlns="6fb0c34a-1d21-4591-bf27-af47a8e571e8" xsi:nil="true"></yes_Detail></documentManagement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VeilleJuridiqueDoc" ma:contentTypeID="0x010100B3669A6B9A7E4EE5877FE38FDB8B9919020054C245262BF9934AA46EA6A74196A5E9" ma:contentTypeVersion="24" ma:contentTypeDescription="Bibliothèque des espaces dédiés" ma:contentTypeScope="" ma:versionID="1aed85a97641dae80c2253a7356f305b">
  <xsd:schema xmlns:xsd="http://www.w3.org/2001/XMLSchema" xmlns:xs="http://www.w3.org/2001/XMLSchema" xmlns:p="http://schemas.microsoft.com/office/2006/metadata/properties" xmlns:ns2="6fb0c34a-1d21-4591-bf27-af47a8e571e8" xmlns:ns3="d13cbe4f-1448-46a5-af3f-2daad8b9242e" xmlns:ns4="002f9175-6b98-453e-8381-436e165ab70f" targetNamespace="http://schemas.microsoft.com/office/2006/metadata/properties" ma:root="true" ma:fieldsID="949cafe06bb0e04566e8bcdffe818972" ns2:_="" ns3:_="" ns4:_="">
    <xsd:import namespace="6fb0c34a-1d21-4591-bf27-af47a8e571e8"/>
    <xsd:import namespace="d13cbe4f-1448-46a5-af3f-2daad8b9242e"/>
    <xsd:import namespace="002f9175-6b98-453e-8381-436e165ab70f"/>
    <xsd:element name="properties">
      <xsd:complexType>
        <xsd:sequence>
          <xsd:element name="documentManagement">
            <xsd:complexType>
              <xsd:all>
                <xsd:element ref="ns2:yes_Detail" minOccurs="0"/>
                <xsd:element ref="ns2:Référence_x005f_x0020_texte_x005f_x0020_officiel" minOccurs="0"/>
                <xsd:element ref="ns2:Référence_x005f_x0020_bibliographique" minOccurs="0"/>
                <xsd:element ref="ns3:TaxCatchAll" minOccurs="0"/>
                <xsd:element ref="ns3:TaxCatchAllLabel" minOccurs="0"/>
                <xsd:element ref="ns4:h5b5bcbb19734e04aa9301ca5621b66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0c34a-1d21-4591-bf27-af47a8e571e8" elementFormDefault="qualified">
    <xsd:import namespace="http://schemas.microsoft.com/office/2006/documentManagement/types"/>
    <xsd:import namespace="http://schemas.microsoft.com/office/infopath/2007/PartnerControls"/>
    <xsd:element name="yes_Detail" ma:index="2" nillable="true" ma:displayName="Détail" ma:internalName="yes_Detail" ma:readOnly="false">
      <xsd:simpleType>
        <xsd:restriction base="dms:Unknown"/>
      </xsd:simpleType>
    </xsd:element>
    <xsd:element name="Référence_x005f_x0020_texte_x005f_x0020_officiel" ma:index="3" nillable="true" ma:displayName="Référence texte officiel" ma:internalName="R_x00e9_f_x00e9_rence_x0020_texte_x0020_officiel" ma:readOnly="false">
      <xsd:simpleType>
        <xsd:restriction base="dms:Text">
          <xsd:maxLength value="255"/>
        </xsd:restriction>
      </xsd:simpleType>
    </xsd:element>
    <xsd:element name="Référence_x005f_x0020_bibliographique" ma:index="4" nillable="true" ma:displayName="Référence bibliographique" ma:internalName="R_x00e9_f_x00e9_rence_x0020_bibliographiqu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6c2e44c6-a576-463b-8dab-3091369b77b9}" ma:internalName="TaxCatchAll" ma:showField="CatchAllData" ma:web="6fb0c34a-1d21-4591-bf27-af47a8e57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6c2e44c6-a576-463b-8dab-3091369b77b9}" ma:internalName="TaxCatchAllLabel" ma:readOnly="true" ma:showField="CatchAllDataLabel" ma:web="6fb0c34a-1d21-4591-bf27-af47a8e57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f9175-6b98-453e-8381-436e165ab70f" elementFormDefault="qualified">
    <xsd:import namespace="http://schemas.microsoft.com/office/2006/documentManagement/types"/>
    <xsd:import namespace="http://schemas.microsoft.com/office/infopath/2007/PartnerControls"/>
    <xsd:element name="h5b5bcbb19734e04aa9301ca5621b66b" ma:index="13" nillable="true" ma:displayName="Emetteur_0" ma:hidden="true" ma:internalName="h5b5bcbb19734e04aa9301ca5621b66b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This value indicates the number of saves or revisions. The application is responsible for updating this value after each revision.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080acc9f-a124-4651-8c21-27ed651001c5" ContentTypeId="0x0101" PreviousValue="true" LastSyncTimeStamp="2024-10-03T06:57:46.053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B8482F-9492-43E8-A787-37297D3BEA24}">
  <ds:schemaRefs>
    <ds:schemaRef ds:uri="http://schemas.microsoft.com/office/2006/metadata/properties"/>
    <ds:schemaRef ds:uri="http://www.w3.org/2001/XMLSchema-instance"/>
    <ds:schemaRef ds:uri="http://schemas.microsoft.com/office/infopath/2007/PartnerControls"/>
    <ds:schemaRef ds:uri="6fb0c34a-1d21-4591-bf27-af47a8e571e8"/>
  </ds:schemaRefs>
</ds:datastoreItem>
</file>

<file path=customXml/itemProps2.xml><?xml version="1.0" encoding="utf-8"?>
<ds:datastoreItem xmlns:ds="http://schemas.openxmlformats.org/officeDocument/2006/customXml" ds:itemID="{791DF675-C860-4B11-A834-174253CCC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b0c34a-1d21-4591-bf27-af47a8e571e8"/>
    <ds:schemaRef ds:uri="d13cbe4f-1448-46a5-af3f-2daad8b9242e"/>
    <ds:schemaRef ds:uri="002f9175-6b98-453e-8381-436e165ab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533720EC-4C06-483E-9754-7F7348CF471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795B3A6-7E59-4608-BA0B-5935C75850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CDG33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délibération instituant une indemnité forfaitaire complémentaire pour élections (IFCE)</dc:title>
  <dc:subject/>
  <dc:creator>SENANT Claire</dc:creator>
  <cp:keywords/>
  <dc:description/>
  <cp:lastModifiedBy>Utilisateur</cp:lastModifiedBy>
  <cp:revision>132</cp:revision>
  <dcterms:created xsi:type="dcterms:W3CDTF">2025-12-12T10:35:00Z</dcterms:created>
  <dcterms:modified xsi:type="dcterms:W3CDTF">2026-03-02T11:01:06Z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re">
    <vt:lpwstr>Modèle de délibération fixant les modalités de fonctionnement du compte épargne-temps</vt:lpwstr>
  </property>
  <property fmtid="{D5CDD505-2E9C-101B-9397-08002B2CF9AE}" pid="3" name="Thématique(s)">
    <vt:lpwstr/>
  </property>
  <property fmtid="{D5CDD505-2E9C-101B-9397-08002B2CF9AE}" pid="4" name="Archive">
    <vt:bool>false</vt:bool>
  </property>
  <property fmtid="{D5CDD505-2E9C-101B-9397-08002B2CF9AE}" pid="5" name="yes_Processus">
    <vt:lpwstr/>
  </property>
  <property fmtid="{D5CDD505-2E9C-101B-9397-08002B2CF9AE}" pid="6" name="yes_Emetteur">
    <vt:lpwstr>2498;#Expertise RH mutualisée|edf9fb82-80b9-43e4-903d-8111a2ee1f16</vt:lpwstr>
  </property>
  <property fmtid="{D5CDD505-2E9C-101B-9397-08002B2CF9AE}" pid="7" name="publier">
    <vt:bool>true</vt:bool>
  </property>
  <property fmtid="{D5CDD505-2E9C-101B-9397-08002B2CF9AE}" pid="8" name="xd_ProgID">
    <vt:lpwstr/>
  </property>
  <property fmtid="{D5CDD505-2E9C-101B-9397-08002B2CF9AE}" pid="9" name="Nature_document">
    <vt:lpwstr>2568;#Modèle|c8002522-eb73-478f-a8d4-f44b1bb0cd88</vt:lpwstr>
  </property>
  <property fmtid="{D5CDD505-2E9C-101B-9397-08002B2CF9AE}" pid="10" name="ContentTypeId">
    <vt:lpwstr>0x010100B3669A6B9A7E4EE5877FE38FDB8B9919020054C245262BF9934AA46EA6A74196A5E9</vt:lpwstr>
  </property>
  <property fmtid="{D5CDD505-2E9C-101B-9397-08002B2CF9AE}" pid="11" name="m758ac0241a94e4d98028cb60ff1e2dc">
    <vt:lpwstr>Privé|9d61055b-725b-4297-9a77-8c5caa518546</vt:lpwstr>
  </property>
  <property fmtid="{D5CDD505-2E9C-101B-9397-08002B2CF9AE}" pid="12" name="Date de mise à jour">
    <vt:filetime>2026-02-16T23:00:00Z</vt:filetime>
  </property>
  <property fmtid="{D5CDD505-2E9C-101B-9397-08002B2CF9AE}" pid="13" name="e807b094b2fb4c3f90ccfc2c7fbb4c32">
    <vt:lpwstr>Expertise mutualisée|ecb15c63-629d-4878-8364-d9bab165b640</vt:lpwstr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Nature de document veille">
    <vt:lpwstr>3993;#Modèle|b249a672-dea0-4f85-b9c3-3daf3f3ee20f</vt:lpwstr>
  </property>
  <property fmtid="{D5CDD505-2E9C-101B-9397-08002B2CF9AE}" pid="17" name="Date du document">
    <vt:filetime>2024-10-10T22:00:00Z</vt:filetime>
  </property>
  <property fmtid="{D5CDD505-2E9C-101B-9397-08002B2CF9AE}" pid="18" name="n4419113d3e54a13ae9672edf25968e5">
    <vt:lpwstr>IHTS et heures complémentaires|40b3bc11-2bf3-43b1-9742-140766ce59c7</vt:lpwstr>
  </property>
  <property fmtid="{D5CDD505-2E9C-101B-9397-08002B2CF9AE}" pid="19" name="Info_maj">
    <vt:lpwstr/>
  </property>
  <property fmtid="{D5CDD505-2E9C-101B-9397-08002B2CF9AE}" pid="20" name="Sous_x002d_th_x00e9_matique_x0028_s_x0029_">
    <vt:lpwstr>3142;#Congés et absence|dc051ce5-dd87-4146-94f9-61d3d42da266</vt:lpwstr>
  </property>
  <property fmtid="{D5CDD505-2E9C-101B-9397-08002B2CF9AE}" pid="21" name="Nature_x0020_de_x0020_document_x0020_veille">
    <vt:lpwstr>3993;#Modèle|b249a672-dea0-4f85-b9c3-3daf3f3ee20f</vt:lpwstr>
  </property>
  <property fmtid="{D5CDD505-2E9C-101B-9397-08002B2CF9AE}" pid="22" name="Emetteur">
    <vt:lpwstr>2559;#Expertise RH mutualisée|ecb15c63-629d-4878-8364-d9bab165b640</vt:lpwstr>
  </property>
  <property fmtid="{D5CDD505-2E9C-101B-9397-08002B2CF9AE}" pid="23" name="g9c48524d63d46d1bbce8822d5653303">
    <vt:lpwstr>Rémunération|eabc127e-c6bc-4c0f-9349-6d75953b61d0</vt:lpwstr>
  </property>
  <property fmtid="{D5CDD505-2E9C-101B-9397-08002B2CF9AE}" pid="24" name="_ExtendedDescription">
    <vt:lpwstr/>
  </property>
  <property fmtid="{D5CDD505-2E9C-101B-9397-08002B2CF9AE}" pid="25" name="Nature de document veille_0">
    <vt:lpwstr>Modèle|b249a672-dea0-4f85-b9c3-3daf3f3ee20f</vt:lpwstr>
  </property>
  <property fmtid="{D5CDD505-2E9C-101B-9397-08002B2CF9AE}" pid="26" name="Thematique">
    <vt:lpwstr>2564;#Rémunération|eabc127e-c6bc-4c0f-9349-6d75953b61d0</vt:lpwstr>
  </property>
  <property fmtid="{D5CDD505-2E9C-101B-9397-08002B2CF9AE}" pid="27" name="Sous-thématique(s)_0">
    <vt:lpwstr>Congés et absence|dc051ce5-dd87-4146-94f9-61d3d42da266</vt:lpwstr>
  </property>
  <property fmtid="{D5CDD505-2E9C-101B-9397-08002B2CF9AE}" pid="28" name="Auteur(s)">
    <vt:lpwstr/>
  </property>
  <property fmtid="{D5CDD505-2E9C-101B-9397-08002B2CF9AE}" pid="29" name="Resume">
    <vt:lpwstr>Modèle de délibération instituant une indemnité forfaitaire complémentaire pour élections (IFCE)</vt:lpwstr>
  </property>
  <property fmtid="{D5CDD505-2E9C-101B-9397-08002B2CF9AE}" pid="30" name="od8d3bb709094f93a5b64ed17b7e93aa">
    <vt:lpwstr>Expertise RH mutualisée|edf9fb82-80b9-43e4-903d-8111a2ee1f16</vt:lpwstr>
  </property>
  <property fmtid="{D5CDD505-2E9C-101B-9397-08002B2CF9AE}" pid="31" name="hfd68a586720489190486f7b93326e47">
    <vt:lpwstr>Congés et absence|dc051ce5-dd87-4146-94f9-61d3d42da266</vt:lpwstr>
  </property>
  <property fmtid="{D5CDD505-2E9C-101B-9397-08002B2CF9AE}" pid="32" name="a489d3471d0949f6814cc8433ddaf927">
    <vt:lpwstr>Modèle|c8002522-eb73-478f-a8d4-f44b1bb0cd88</vt:lpwstr>
  </property>
  <property fmtid="{D5CDD505-2E9C-101B-9397-08002B2CF9AE}" pid="33" name="xd_Signature">
    <vt:bool>false</vt:bool>
  </property>
  <property fmtid="{D5CDD505-2E9C-101B-9397-08002B2CF9AE}" pid="34" name="Sous_thematique">
    <vt:lpwstr>2631;#IHTS et heures complémentaires|40b3bc11-2bf3-43b1-9742-140766ce59c7</vt:lpwstr>
  </property>
  <property fmtid="{D5CDD505-2E9C-101B-9397-08002B2CF9AE}" pid="35" name="yes_NatureDocument">
    <vt:lpwstr/>
  </property>
  <property fmtid="{D5CDD505-2E9C-101B-9397-08002B2CF9AE}" pid="36" name="yes_Archive">
    <vt:bool>false</vt:bool>
  </property>
  <property fmtid="{D5CDD505-2E9C-101B-9397-08002B2CF9AE}" pid="37" name="DMS_Tag">
    <vt:lpwstr/>
  </property>
  <property fmtid="{D5CDD505-2E9C-101B-9397-08002B2CF9AE}" pid="38" name="yes_Origine">
    <vt:lpwstr/>
  </property>
  <property fmtid="{D5CDD505-2E9C-101B-9397-08002B2CF9AE}" pid="39" name="Datedudocument">
    <vt:filetime>2026-02-16T23:00:00Z</vt:filetime>
  </property>
  <property fmtid="{D5CDD505-2E9C-101B-9397-08002B2CF9AE}" pid="40" name="Th_x00e9_matique_x0028_s_x0029_">
    <vt:lpwstr/>
  </property>
  <property fmtid="{D5CDD505-2E9C-101B-9397-08002B2CF9AE}" pid="41" name="d9a6de5fcc97430fa3859e3c48811208">
    <vt:lpwstr>Modèle|b249a672-dea0-4f85-b9c3-3daf3f3ee20f</vt:lpwstr>
  </property>
  <property fmtid="{D5CDD505-2E9C-101B-9397-08002B2CF9AE}" pid="42" name="Source Liste">
    <vt:lpwstr/>
  </property>
  <property fmtid="{D5CDD505-2E9C-101B-9397-08002B2CF9AE}" pid="43" name="DMS_TypeOfPublication">
    <vt:lpwstr>9;#Privé|9d61055b-725b-4297-9a77-8c5caa518546</vt:lpwstr>
  </property>
  <property fmtid="{D5CDD505-2E9C-101B-9397-08002B2CF9AE}" pid="44" name="yes_Diffusion">
    <vt:lpwstr/>
  </property>
  <property fmtid="{D5CDD505-2E9C-101B-9397-08002B2CF9AE}" pid="45" name="yes_Resume">
    <vt:lpwstr>&lt;p style="text-align&amp;#58;justify;"&gt;​Modèle de délibération
fixant les modalités de fonctionnement du compte épargne-temps.&lt;br&gt;&lt;/p&gt;</vt:lpwstr>
  </property>
  <property fmtid="{D5CDD505-2E9C-101B-9397-08002B2CF9AE}" pid="46" name="Source_x0020_Liste">
    <vt:lpwstr/>
  </property>
  <property fmtid="{D5CDD505-2E9C-101B-9397-08002B2CF9AE}" pid="47" name="TriggerFlowInfo">
    <vt:lpwstr/>
  </property>
  <property fmtid="{D5CDD505-2E9C-101B-9397-08002B2CF9AE}" pid="48" name="Auteur_x0028_s_x0029_">
    <vt:lpwstr/>
  </property>
  <property fmtid="{D5CDD505-2E9C-101B-9397-08002B2CF9AE}" pid="49" name="Emetteur_0">
    <vt:lpwstr>Expertise RH mutualisée|edf9fb82-80b9-43e4-903d-8111a2ee1f16</vt:lpwstr>
  </property>
  <property fmtid="{D5CDD505-2E9C-101B-9397-08002B2CF9AE}" pid="50" name="DMS_WebsiteTheme">
    <vt:lpwstr/>
  </property>
  <property fmtid="{D5CDD505-2E9C-101B-9397-08002B2CF9AE}" pid="51" name="Verif">
    <vt:bool>false</vt:bool>
  </property>
  <property fmtid="{D5CDD505-2E9C-101B-9397-08002B2CF9AE}" pid="52" name="Order">
    <vt:r8>53100.000000</vt:r8>
  </property>
  <property fmtid="{D5CDD505-2E9C-101B-9397-08002B2CF9AE}" pid="53" name="Sous-thématique(s)">
    <vt:lpwstr>3142;#Congés et absence|dc051ce5-dd87-4146-94f9-61d3d42da266</vt:lpwstr>
  </property>
</Properties>
</file>