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1843"/>
          <w:tab w:val="center" w:leader="none" w:pos="6804"/>
        </w:tabs>
        <w:spacing/>
        <w:ind/>
        <w:jc w:val="center"/>
        <w:rPr>
          <w:b/>
          <w:smallCaps/>
          <w:color w:val="b52d51"/>
        </w:rPr>
      </w:pPr>
      <w:r>
        <w:rPr>
          <w:b/>
          <w:smallCaps/>
          <w:color w:val="b52d51"/>
        </w:rPr>
        <w:t xml:space="preserve">DELIBERATION ANNUELLE D’ATTRIBUTION D’UN VÉHICULE DE FONCTION</w:t>
      </w:r>
      <w:r>
        <w:rPr>
          <w:b/>
          <w:smallCaps/>
          <w:color w:val="b52d51"/>
        </w:rPr>
      </w:r>
    </w:p>
    <w:p>
      <w:pPr>
        <w:pBdr/>
        <w:spacing/>
        <w:ind w:right="74"/>
        <w:rPr>
          <w:b/>
          <w:i/>
          <w:color w:val="81a940"/>
        </w:rPr>
      </w:pPr>
      <w:r>
        <w:rPr>
          <w:b/>
          <w:i/>
          <w:color w:val="81a940"/>
        </w:rPr>
      </w:r>
      <w:r>
        <w:rPr>
          <w:b/>
          <w:i/>
          <w:color w:val="81a940"/>
        </w:rPr>
      </w:r>
    </w:p>
    <w:p>
      <w:pPr>
        <w:pBdr/>
        <w:spacing/>
        <w:ind w:right="74"/>
        <w:rPr/>
      </w:pPr>
      <w:r>
        <w:t xml:space="preserve">M……………… </w:t>
      </w:r>
      <w:r>
        <w:rPr>
          <w:i/>
        </w:rPr>
        <w:t xml:space="preserve">(</w:t>
      </w:r>
      <w:r>
        <w:rPr>
          <w:i/>
          <w:color w:val="0070c0"/>
        </w:rPr>
        <w:t xml:space="preserve">autorité territoriale</w:t>
      </w:r>
      <w:r>
        <w:rPr>
          <w:i/>
        </w:rPr>
        <w:t xml:space="preserve">)</w:t>
      </w:r>
      <w:r>
        <w:t xml:space="preserve"> rappelle au ………………. </w:t>
      </w:r>
      <w:r>
        <w:rPr>
          <w:i/>
        </w:rPr>
        <w:t xml:space="preserve">(</w:t>
      </w:r>
      <w:r>
        <w:rPr>
          <w:i/>
          <w:color w:val="0070c0"/>
        </w:rPr>
        <w:t xml:space="preserve">organe</w:t>
      </w:r>
      <w:r>
        <w:rPr>
          <w:i/>
          <w:color w:val="0070c0"/>
        </w:rPr>
        <w:t xml:space="preserve"> délibérant</w:t>
      </w:r>
      <w:r>
        <w:rPr>
          <w:i/>
        </w:rPr>
        <w:t xml:space="preserve">)</w:t>
      </w:r>
      <w:r>
        <w:t xml:space="preserve"> que :</w:t>
      </w:r>
      <w:r/>
    </w:p>
    <w:p>
      <w:pPr>
        <w:pBdr/>
        <w:spacing/>
        <w:ind w:right="74"/>
        <w:rPr>
          <w:rFonts w:cs="Calibri"/>
        </w:rPr>
      </w:pPr>
      <w:r>
        <w:rPr>
          <w:rFonts w:cs="Calibri"/>
        </w:rPr>
        <w:t xml:space="preserve">Vu le Code général de la fonction publique ; </w:t>
      </w:r>
      <w:r>
        <w:rPr>
          <w:rFonts w:cs="Calibri"/>
        </w:rPr>
      </w:r>
    </w:p>
    <w:p>
      <w:pPr>
        <w:pBdr/>
        <w:tabs>
          <w:tab w:val="left" w:leader="none" w:pos="480"/>
        </w:tabs>
        <w:spacing/>
        <w:ind/>
        <w:rPr>
          <w:rFonts w:cs="Calibri"/>
          <w:color w:val="000000"/>
        </w:rPr>
      </w:pPr>
      <w:r>
        <w:rPr>
          <w:rFonts w:cs="Calibri"/>
          <w:color w:val="000000"/>
        </w:rPr>
        <w:t xml:space="preserve">Vu le Code général des collectivités territoriales ;</w:t>
      </w:r>
      <w:r>
        <w:rPr>
          <w:rFonts w:cs="Calibri"/>
          <w:color w:val="000000"/>
        </w:rPr>
      </w:r>
    </w:p>
    <w:p>
      <w:pPr>
        <w:pBdr/>
        <w:spacing/>
        <w:ind/>
        <w:rPr>
          <w:rFonts w:cstheme="minorHAnsi"/>
        </w:rPr>
      </w:pPr>
      <w:r>
        <w:rPr>
          <w:rFonts w:cs="Calibri"/>
        </w:rPr>
        <w:t xml:space="preserve">Vu le d</w:t>
      </w:r>
      <w:r>
        <w:rPr>
          <w:rFonts w:cstheme="minorHAnsi"/>
        </w:rPr>
        <w:t xml:space="preserve">écret n°2022-250 du 25 février 2022 portant diverses dispositions d'application du code général de la fonction publique ;</w:t>
      </w:r>
      <w:r>
        <w:rPr>
          <w:rFonts w:cstheme="minorHAnsi"/>
        </w:rPr>
      </w:r>
    </w:p>
    <w:p>
      <w:pPr>
        <w:pBdr/>
        <w:tabs>
          <w:tab w:val="left" w:leader="none" w:pos="480"/>
        </w:tabs>
        <w:spacing/>
        <w:ind/>
        <w:rPr>
          <w:rFonts w:cs="Calibri"/>
          <w:color w:val="000000"/>
        </w:rPr>
      </w:pPr>
      <w:r>
        <w:rPr>
          <w:rFonts w:cs="Calibri"/>
          <w:color w:val="000000"/>
        </w:rPr>
        <w:t xml:space="preserve">Vu l’arrêté du 25 février 2025 relatif à l'évaluation des avantages en nature pour le calcul des cotisations de sécurité sociale des salariés affiliés au régime général et des salariés affiliés au régime agricole ;</w:t>
      </w:r>
      <w:r>
        <w:rPr>
          <w:rFonts w:cs="Calibri"/>
          <w:color w:val="000000"/>
        </w:rPr>
      </w:r>
    </w:p>
    <w:p>
      <w:pPr>
        <w:pBdr/>
        <w:spacing/>
        <w:ind w:right="74"/>
        <w:rPr>
          <w:strike/>
        </w:rPr>
      </w:pPr>
      <w:r>
        <w:rPr>
          <w:strike/>
        </w:rPr>
      </w:r>
      <w:r>
        <w:rPr>
          <w:strike/>
        </w:rPr>
      </w:r>
    </w:p>
    <w:p>
      <w:pPr>
        <w:pBdr/>
        <w:spacing/>
        <w:ind w:right="74"/>
        <w:rPr/>
      </w:pPr>
      <w:r>
        <w:t xml:space="preserve">Considérant que ……… (</w:t>
      </w:r>
      <w:r>
        <w:rPr>
          <w:i/>
          <w:iCs/>
          <w:color w:val="0070c0"/>
        </w:rPr>
        <w:t xml:space="preserve">nom de la collectivité territoriale ou de l’établissement public</w:t>
      </w:r>
      <w:r>
        <w:t xml:space="preserve">) peut mettre un véhicule à disposition de ses agents lorsque leurs fonctions le justifient ;</w:t>
      </w:r>
      <w:r/>
    </w:p>
    <w:p>
      <w:pPr>
        <w:pBdr/>
        <w:spacing/>
        <w:ind w:right="74"/>
        <w:rPr/>
      </w:pPr>
      <w:r/>
      <w:r/>
    </w:p>
    <w:p>
      <w:pPr>
        <w:pBdr/>
        <w:spacing/>
        <w:ind w:right="74"/>
        <w:rPr/>
      </w:pPr>
      <w:r>
        <w:t xml:space="preserve">Considérant que la mise à disposition d’un véhicule de fonction constitue un avantage en nature,</w:t>
      </w:r>
      <w:r/>
    </w:p>
    <w:p>
      <w:pPr>
        <w:pBdr/>
        <w:spacing/>
        <w:ind w:right="74"/>
        <w:rPr/>
      </w:pPr>
      <w:r/>
      <w:r/>
    </w:p>
    <w:p>
      <w:pPr>
        <w:pBdr/>
        <w:spacing/>
        <w:ind w:right="74"/>
        <w:rPr/>
      </w:pPr>
      <w:r>
        <w:t xml:space="preserve">Considérant que l’attribution d’un véhicule aux agents est subordonnée à une décision préalable</w:t>
      </w:r>
      <w:r/>
    </w:p>
    <w:p>
      <w:pPr>
        <w:pBdr/>
        <w:spacing/>
        <w:ind w:right="74"/>
        <w:rPr/>
      </w:pPr>
      <w:r>
        <w:t xml:space="preserve">de</w:t>
      </w:r>
      <w:r>
        <w:t xml:space="preserve"> l’organe délibérant de la collectivité territoriale ou de l’établissement public ;</w:t>
      </w:r>
      <w:r/>
    </w:p>
    <w:p>
      <w:pPr>
        <w:pBdr/>
        <w:spacing/>
        <w:ind w:right="74"/>
        <w:rPr/>
      </w:pPr>
      <w:r/>
      <w:r/>
    </w:p>
    <w:p>
      <w:pPr>
        <w:pBdr/>
        <w:spacing/>
        <w:ind w:right="74"/>
        <w:rPr/>
      </w:pPr>
      <w:r>
        <w:t xml:space="preserve">Considérant qu’une délibération annuelle est nécessaire pour déterminer l’ensemble des modalités d’attribution de véhicules de fonction aux agents de………</w:t>
      </w:r>
      <w:r>
        <w:t xml:space="preserve">…….</w:t>
      </w:r>
      <w:r>
        <w:t xml:space="preserve">.(</w:t>
      </w:r>
      <w:r>
        <w:rPr>
          <w:i/>
          <w:iCs/>
          <w:color w:val="0070c0"/>
        </w:rPr>
        <w:t xml:space="preserve">nom de la collectivité territoriale ou de l’établissement public</w:t>
      </w:r>
      <w:r>
        <w:t xml:space="preserve">) ;</w:t>
      </w:r>
      <w:r/>
    </w:p>
    <w:p>
      <w:pPr>
        <w:pBdr/>
        <w:spacing/>
        <w:ind w:right="74"/>
        <w:rPr/>
      </w:pPr>
      <w:r/>
      <w:r/>
    </w:p>
    <w:p>
      <w:pPr>
        <w:pBdr/>
        <w:spacing/>
        <w:ind w:right="74"/>
        <w:rPr/>
      </w:pPr>
      <w:r>
        <w:t xml:space="preserve">Considérant que les responsabilités qui leur incombent, les contraintes de déplacement et de temps inhérentes aux emplois de……………………</w:t>
      </w:r>
      <w:r>
        <w:t xml:space="preserve">…</w:t>
      </w:r>
      <w:r>
        <w:rPr>
          <w:i/>
          <w:iCs/>
          <w:color w:val="0070c0"/>
        </w:rPr>
        <w:t xml:space="preserve">(</w:t>
      </w:r>
      <w:r>
        <w:rPr>
          <w:i/>
          <w:iCs/>
          <w:color w:val="0070c0"/>
        </w:rPr>
        <w:t xml:space="preserve">dénomination du ou des emplois fonctionnels concernés) </w:t>
      </w:r>
      <w:r>
        <w:t xml:space="preserve">nécessitent l’attribution de façon permanente et exclusive d’un véhicule de fonction pour son usage professionnel et ses déplacements personnelles.</w:t>
      </w:r>
      <w:r/>
    </w:p>
    <w:p>
      <w:pPr>
        <w:pBdr/>
        <w:spacing/>
        <w:ind w:right="74"/>
        <w:rPr/>
      </w:pPr>
      <w:r/>
      <w:r/>
    </w:p>
    <w:p>
      <w:pPr>
        <w:pBdr/>
        <w:spacing/>
        <w:ind w:right="74"/>
        <w:rPr/>
      </w:pPr>
      <w:r/>
      <w:r/>
    </w:p>
    <w:p>
      <w:pPr>
        <w:pBdr/>
        <w:spacing/>
        <w:ind w:right="74"/>
        <w:rPr/>
      </w:pPr>
      <w:r>
        <w:t xml:space="preserve">Sur le rapport de </w:t>
      </w:r>
      <w:r>
        <w:rPr>
          <w:i/>
          <w:color w:val="0070c0"/>
          <w:lang w:eastAsia="fr-FR"/>
        </w:rPr>
        <w:t xml:space="preserve">Monsieur/Madame le Maire ou le Président/La Présidente</w:t>
      </w:r>
      <w:r>
        <w:t xml:space="preserve">, après en avoir délibéré, le Conseil …, (</w:t>
      </w:r>
      <w:r>
        <w:rPr>
          <w:i/>
        </w:rPr>
        <w:t xml:space="preserve">indication des votes</w:t>
      </w:r>
      <w:r>
        <w:t xml:space="preserve">) :</w:t>
      </w:r>
      <w:r/>
    </w:p>
    <w:p>
      <w:pPr>
        <w:pBdr/>
        <w:spacing/>
        <w:ind w:right="74"/>
        <w:rPr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</w:tblBorders>
        <w:tblpPr w:horzAnchor="text" w:tblpXSpec="center" w:vertAnchor="text" w:tblpY="1" w:leftFromText="141" w:topFromText="0" w:rightFromText="141" w:bottomFromText="160"/>
        <w:tblOverlap w:val="never"/>
        <w:tblLook w:val="01E0" w:firstRow="1" w:lastRow="1" w:firstColumn="1" w:lastColumn="1" w:noHBand="0" w:noVBand="0"/>
      </w:tblPr>
      <w:tblGrid>
        <w:gridCol w:w="3833"/>
        <w:gridCol w:w="3033"/>
      </w:tblGrid>
      <w:tr>
        <w:trPr>
          <w:trHeight w:val="5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833" w:type="dxa"/>
            <w:vAlign w:val="center"/>
            <w:textDirection w:val="lrTb"/>
            <w:noWrap w:val="false"/>
          </w:tcPr>
          <w:p>
            <w:pPr>
              <w:pBdr/>
              <w:spacing/>
              <w:ind w:right="74"/>
              <w:rPr>
                <w:i/>
              </w:rPr>
            </w:pPr>
            <w:r>
              <w:rPr>
                <w:i/>
              </w:rPr>
              <w:t xml:space="preserve">Nombre de suffrages exprimés :</w:t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33" w:type="dxa"/>
            <w:vAlign w:val="center"/>
            <w:textDirection w:val="lrTb"/>
            <w:noWrap w:val="false"/>
          </w:tcPr>
          <w:p>
            <w:pPr>
              <w:pBdr/>
              <w:spacing/>
              <w:ind w:right="74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rPr>
          <w:trHeight w:val="5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833" w:type="dxa"/>
            <w:vAlign w:val="center"/>
            <w:textDirection w:val="lrTb"/>
            <w:noWrap w:val="false"/>
          </w:tcPr>
          <w:p>
            <w:pPr>
              <w:pBdr/>
              <w:spacing/>
              <w:ind w:right="74"/>
              <w:rPr>
                <w:i/>
              </w:rPr>
            </w:pPr>
            <w:r>
              <w:rPr>
                <w:i/>
              </w:rPr>
              <w:t xml:space="preserve">Votes Pour :</w:t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33" w:type="dxa"/>
            <w:vAlign w:val="center"/>
            <w:textDirection w:val="lrTb"/>
            <w:noWrap w:val="false"/>
          </w:tcPr>
          <w:p>
            <w:pPr>
              <w:pBdr/>
              <w:spacing/>
              <w:ind w:right="74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rPr>
          <w:trHeight w:val="5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833" w:type="dxa"/>
            <w:vAlign w:val="center"/>
            <w:textDirection w:val="lrTb"/>
            <w:noWrap w:val="false"/>
          </w:tcPr>
          <w:p>
            <w:pPr>
              <w:pBdr/>
              <w:spacing/>
              <w:ind w:right="74"/>
              <w:rPr>
                <w:i/>
              </w:rPr>
            </w:pPr>
            <w:r>
              <w:rPr>
                <w:i/>
              </w:rPr>
              <w:t xml:space="preserve">Votes Contre :</w:t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33" w:type="dxa"/>
            <w:vAlign w:val="center"/>
            <w:textDirection w:val="lrTb"/>
            <w:noWrap w:val="false"/>
          </w:tcPr>
          <w:p>
            <w:pPr>
              <w:pBdr/>
              <w:spacing/>
              <w:ind w:right="74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rPr>
          <w:trHeight w:val="5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833" w:type="dxa"/>
            <w:vAlign w:val="center"/>
            <w:textDirection w:val="lrTb"/>
            <w:noWrap w:val="false"/>
          </w:tcPr>
          <w:p>
            <w:pPr>
              <w:pBdr/>
              <w:spacing/>
              <w:ind w:right="74"/>
              <w:rPr>
                <w:i/>
              </w:rPr>
            </w:pPr>
            <w:r>
              <w:rPr>
                <w:i/>
              </w:rPr>
              <w:t xml:space="preserve">Abstention :</w:t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33" w:type="dxa"/>
            <w:vAlign w:val="center"/>
            <w:textDirection w:val="lrTb"/>
            <w:noWrap w:val="false"/>
          </w:tcPr>
          <w:p>
            <w:pPr>
              <w:pBdr/>
              <w:spacing/>
              <w:ind w:right="74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</w:tbl>
    <w:p>
      <w:pPr>
        <w:pBdr/>
        <w:spacing/>
        <w:ind w:right="74"/>
        <w:rPr/>
      </w:pPr>
      <w:r/>
      <w:r/>
    </w:p>
    <w:p>
      <w:pPr>
        <w:pBdr/>
        <w:spacing/>
        <w:ind w:right="74"/>
        <w:rPr/>
      </w:pPr>
      <w:r/>
      <w:r/>
    </w:p>
    <w:p>
      <w:pPr>
        <w:pBdr/>
        <w:spacing/>
        <w:ind w:right="74"/>
        <w:rPr/>
      </w:pPr>
      <w:r/>
      <w:r/>
    </w:p>
    <w:p>
      <w:pPr>
        <w:pBdr/>
        <w:spacing/>
        <w:ind w:right="74"/>
        <w:rPr/>
      </w:pPr>
      <w:r/>
      <w:r/>
    </w:p>
    <w:p>
      <w:pPr>
        <w:pBdr/>
        <w:spacing/>
        <w:ind w:right="74"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/>
        <w:ind w:right="74"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/>
        <w:ind w:right="74"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/>
        <w:ind w:right="74"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/>
        <w:ind w:right="74"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/>
        <w:ind w:right="74"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/>
        <w:ind w:right="74"/>
        <w:jc w:val="center"/>
        <w:rPr>
          <w:b/>
        </w:rPr>
      </w:pPr>
      <w:r>
        <w:rPr>
          <w:b/>
        </w:rPr>
        <w:t xml:space="preserve">DÉCIDE</w:t>
      </w:r>
      <w:r>
        <w:rPr>
          <w:b/>
        </w:rPr>
      </w:r>
    </w:p>
    <w:p>
      <w:pPr>
        <w:pBdr/>
        <w:spacing/>
        <w:ind w:right="74"/>
        <w:rPr/>
      </w:pPr>
      <w:r/>
      <w:r/>
    </w:p>
    <w:p>
      <w:pPr>
        <w:pBdr/>
        <w:spacing/>
        <w:ind w:right="72"/>
        <w:rPr/>
      </w:pPr>
      <w:r>
        <w:rPr>
          <w:b/>
          <w:bCs/>
          <w:u w:val="single"/>
        </w:rPr>
        <w:t xml:space="preserve">Article 1</w:t>
      </w:r>
      <w:r>
        <w:t xml:space="preserve"> :</w:t>
      </w:r>
      <w:r/>
    </w:p>
    <w:p>
      <w:pPr>
        <w:pBdr/>
        <w:spacing/>
        <w:ind w:right="72"/>
        <w:rPr/>
      </w:pPr>
      <w:r/>
      <w:r/>
    </w:p>
    <w:p>
      <w:pPr>
        <w:pBdr/>
        <w:spacing/>
        <w:ind w:right="72"/>
        <w:rPr/>
      </w:pPr>
      <w:r>
        <w:t xml:space="preserve">D’octroyer un véhicule de fonction aux agents occupant les emplois suivants :</w:t>
      </w:r>
      <w:r/>
    </w:p>
    <w:p>
      <w:pPr>
        <w:pStyle w:val="678"/>
        <w:numPr>
          <w:ilvl w:val="0"/>
          <w:numId w:val="3"/>
        </w:numPr>
        <w:pBdr/>
        <w:spacing/>
        <w:ind w:right="72"/>
        <w:rPr/>
      </w:pPr>
      <w:r>
        <w:t xml:space="preserve">…….</w:t>
      </w:r>
      <w:r/>
    </w:p>
    <w:p>
      <w:pPr>
        <w:pStyle w:val="678"/>
        <w:numPr>
          <w:ilvl w:val="0"/>
          <w:numId w:val="3"/>
        </w:numPr>
        <w:pBdr/>
        <w:spacing/>
        <w:ind w:right="72"/>
        <w:rPr/>
      </w:pPr>
      <w:r>
        <w:t xml:space="preserve">…….</w:t>
      </w:r>
      <w:r/>
    </w:p>
    <w:p>
      <w:pPr>
        <w:pBdr/>
        <w:spacing/>
        <w:ind w:right="72"/>
        <w:rPr/>
      </w:pPr>
      <w:r/>
      <w:r/>
    </w:p>
    <w:p>
      <w:pPr>
        <w:pBdr/>
        <w:spacing/>
        <w:ind w:right="72"/>
        <w:rPr/>
      </w:pPr>
      <w:r>
        <w:rPr>
          <w:b/>
          <w:bCs/>
          <w:u w:val="single"/>
        </w:rPr>
        <w:t xml:space="preserve">Article 2</w:t>
      </w:r>
      <w:r>
        <w:t xml:space="preserve"> :</w:t>
      </w:r>
      <w:r/>
    </w:p>
    <w:p>
      <w:pPr>
        <w:pBdr/>
        <w:spacing/>
        <w:ind w:right="72"/>
        <w:rPr/>
      </w:pPr>
      <w:r/>
      <w:r/>
    </w:p>
    <w:p>
      <w:pPr>
        <w:pBdr/>
        <w:spacing/>
        <w:ind w:right="72"/>
        <w:rPr/>
      </w:pPr>
      <w:r>
        <w:t xml:space="preserve">D’autoriser le Maire </w:t>
      </w:r>
      <w:r>
        <w:rPr>
          <w:i/>
          <w:iCs/>
        </w:rPr>
        <w:t xml:space="preserve">(</w:t>
      </w:r>
      <w:r>
        <w:rPr>
          <w:i/>
          <w:color w:val="0070c0"/>
        </w:rPr>
        <w:t xml:space="preserve">ou le Président</w:t>
      </w:r>
      <w:r>
        <w:rPr>
          <w:i/>
          <w:iCs/>
        </w:rPr>
        <w:t xml:space="preserve">) </w:t>
      </w:r>
      <w:r>
        <w:t xml:space="preserve">à prendre les arrêtés portant attribution d’un véhicule de fonction à chaque membre agent occupant les fonctions et les emplois mentionnés à l’article 1</w:t>
      </w:r>
      <w:r>
        <w:rPr>
          <w:vertAlign w:val="superscript"/>
        </w:rPr>
        <w:t xml:space="preserve">er</w:t>
      </w:r>
      <w:r>
        <w:t xml:space="preserve">.</w:t>
      </w:r>
      <w:r/>
    </w:p>
    <w:p>
      <w:pPr>
        <w:pBdr/>
        <w:spacing/>
        <w:ind w:right="72"/>
        <w:rPr/>
      </w:pPr>
      <w:r/>
      <w:r/>
    </w:p>
    <w:p>
      <w:pPr>
        <w:pBdr/>
        <w:spacing/>
        <w:ind w:right="72"/>
        <w:rPr/>
      </w:pPr>
      <w:r>
        <w:rPr>
          <w:b/>
          <w:bCs/>
          <w:u w:val="single"/>
        </w:rPr>
        <w:t xml:space="preserve">Article 3</w:t>
      </w:r>
      <w:r>
        <w:t xml:space="preserve"> : </w:t>
      </w:r>
      <w:r/>
    </w:p>
    <w:p>
      <w:pPr>
        <w:pBdr/>
        <w:spacing/>
        <w:ind w:right="74"/>
        <w:rPr>
          <w:iCs/>
        </w:rPr>
      </w:pPr>
      <w:r>
        <w:t xml:space="preserve">De retenir le mode d’évaluation de l’avantage en nature </w:t>
      </w:r>
      <w:r>
        <w:rPr>
          <w:iCs/>
        </w:rPr>
        <w:t xml:space="preserve">selon </w:t>
      </w:r>
      <w:r>
        <w:rPr>
          <w:i/>
          <w:iCs/>
          <w:color w:val="0070c0"/>
        </w:rPr>
        <w:t xml:space="preserve">les dépenses réellement engagées</w:t>
      </w:r>
      <w:r>
        <w:rPr>
          <w:i/>
        </w:rPr>
        <w:t xml:space="preserve"> ou </w:t>
      </w:r>
      <w:r>
        <w:rPr>
          <w:i/>
          <w:color w:val="0070c0"/>
        </w:rPr>
        <w:t xml:space="preserve">une évaluation forfaitaire</w:t>
      </w:r>
      <w:r>
        <w:rPr>
          <w:i/>
        </w:rPr>
        <w:t xml:space="preserve">.</w:t>
      </w:r>
      <w:r>
        <w:rPr>
          <w:iCs/>
        </w:rPr>
      </w:r>
    </w:p>
    <w:p>
      <w:pPr>
        <w:pBdr/>
        <w:spacing/>
        <w:ind w:right="72"/>
        <w:rPr/>
      </w:pPr>
      <w:r/>
      <w:r/>
    </w:p>
    <w:p>
      <w:pPr>
        <w:pBdr/>
        <w:spacing/>
        <w:ind w:right="72"/>
        <w:rPr/>
      </w:pPr>
      <w:r>
        <w:rPr>
          <w:b/>
          <w:bCs/>
          <w:u w:val="single"/>
        </w:rPr>
        <w:t xml:space="preserve">Article 4</w:t>
      </w:r>
      <w:r>
        <w:t xml:space="preserve"> :</w:t>
      </w:r>
      <w:r/>
    </w:p>
    <w:p>
      <w:pPr>
        <w:pBdr/>
        <w:spacing/>
        <w:ind w:right="72"/>
        <w:rPr/>
      </w:pPr>
      <w:r>
        <w:t xml:space="preserve">De prendre en charge les frais annexes suivants : (</w:t>
      </w:r>
      <w:r>
        <w:rPr>
          <w:i/>
          <w:iCs/>
          <w:color w:val="0070c0"/>
        </w:rPr>
        <w:t xml:space="preserve">au choix selon le mode d’évaluation de l’avantage en nature</w:t>
      </w:r>
      <w:r>
        <w:t xml:space="preserve">) </w:t>
      </w:r>
      <w:r/>
    </w:p>
    <w:p>
      <w:pPr>
        <w:pStyle w:val="678"/>
        <w:numPr>
          <w:ilvl w:val="0"/>
          <w:numId w:val="3"/>
        </w:numPr>
        <w:pBdr/>
        <w:spacing/>
        <w:ind w:right="72"/>
        <w:rPr>
          <w:i/>
          <w:iCs/>
          <w:color w:val="0070c0"/>
        </w:rPr>
      </w:pPr>
      <w:r>
        <w:rPr>
          <w:i/>
          <w:iCs/>
          <w:color w:val="0070c0"/>
        </w:rPr>
        <w:t xml:space="preserve">Frais de carburant</w:t>
      </w:r>
      <w:r>
        <w:rPr>
          <w:i/>
          <w:iCs/>
          <w:color w:val="0070c0"/>
        </w:rPr>
      </w:r>
    </w:p>
    <w:p>
      <w:pPr>
        <w:pStyle w:val="678"/>
        <w:numPr>
          <w:ilvl w:val="0"/>
          <w:numId w:val="4"/>
        </w:numPr>
        <w:pBdr/>
        <w:spacing/>
        <w:ind w:right="72"/>
        <w:rPr>
          <w:i/>
          <w:iCs/>
          <w:color w:val="0070c0"/>
        </w:rPr>
      </w:pPr>
      <w:r>
        <w:rPr>
          <w:i/>
          <w:iCs/>
          <w:color w:val="0070c0"/>
        </w:rPr>
        <w:t xml:space="preserve">Frais d’entretien</w:t>
      </w:r>
      <w:r>
        <w:rPr>
          <w:i/>
          <w:iCs/>
          <w:color w:val="0070c0"/>
        </w:rPr>
      </w:r>
    </w:p>
    <w:p>
      <w:pPr>
        <w:pStyle w:val="678"/>
        <w:numPr>
          <w:ilvl w:val="0"/>
          <w:numId w:val="4"/>
        </w:numPr>
        <w:pBdr/>
        <w:spacing/>
        <w:ind w:right="72"/>
        <w:rPr>
          <w:i/>
          <w:iCs/>
          <w:color w:val="0070c0"/>
        </w:rPr>
      </w:pPr>
      <w:r>
        <w:rPr>
          <w:i/>
          <w:iCs/>
          <w:color w:val="0070c0"/>
        </w:rPr>
        <w:t xml:space="preserve">Frais d’assurance</w:t>
      </w:r>
      <w:r>
        <w:rPr>
          <w:i/>
          <w:iCs/>
          <w:color w:val="0070c0"/>
        </w:rPr>
      </w:r>
    </w:p>
    <w:p>
      <w:pPr>
        <w:pStyle w:val="678"/>
        <w:numPr>
          <w:ilvl w:val="0"/>
          <w:numId w:val="4"/>
        </w:numPr>
        <w:pBdr/>
        <w:spacing/>
        <w:ind w:right="72"/>
        <w:rPr>
          <w:i/>
          <w:iCs/>
          <w:color w:val="0070c0"/>
        </w:rPr>
      </w:pPr>
      <w:r>
        <w:rPr>
          <w:i/>
          <w:iCs/>
          <w:color w:val="0070c0"/>
        </w:rPr>
        <w:t xml:space="preserve">Impôts et taxes</w:t>
      </w:r>
      <w:r>
        <w:rPr>
          <w:i/>
          <w:iCs/>
          <w:color w:val="0070c0"/>
        </w:rPr>
      </w:r>
    </w:p>
    <w:p>
      <w:pPr>
        <w:pStyle w:val="678"/>
        <w:numPr>
          <w:ilvl w:val="0"/>
          <w:numId w:val="4"/>
        </w:numPr>
        <w:pBdr/>
        <w:spacing/>
        <w:ind w:right="72"/>
        <w:rPr>
          <w:i/>
          <w:iCs/>
          <w:color w:val="0070c0"/>
        </w:rPr>
      </w:pPr>
      <w:r>
        <w:rPr>
          <w:i/>
          <w:iCs/>
          <w:color w:val="0070c0"/>
        </w:rPr>
        <w:t xml:space="preserve">Frais de péage</w:t>
      </w:r>
      <w:r>
        <w:rPr>
          <w:i/>
          <w:iCs/>
          <w:color w:val="0070c0"/>
        </w:rPr>
      </w:r>
    </w:p>
    <w:p>
      <w:pPr>
        <w:pBdr/>
        <w:spacing/>
        <w:ind w:right="72"/>
        <w:rPr/>
      </w:pPr>
      <w:r/>
      <w:r/>
    </w:p>
    <w:p>
      <w:pPr>
        <w:pBdr/>
        <w:spacing/>
        <w:ind w:right="72"/>
        <w:rPr/>
      </w:pPr>
      <w:r>
        <w:rPr>
          <w:b/>
          <w:bCs/>
          <w:u w:val="single"/>
        </w:rPr>
        <w:t xml:space="preserve">Article 5</w:t>
      </w:r>
      <w:r>
        <w:t xml:space="preserve"> :</w:t>
      </w:r>
      <w:r/>
    </w:p>
    <w:p>
      <w:pPr>
        <w:pBdr/>
        <w:spacing/>
        <w:ind w:right="72"/>
        <w:rPr/>
      </w:pPr>
      <w:r>
        <w:rPr>
          <w:i/>
          <w:color w:val="0070c0"/>
        </w:rPr>
        <w:t xml:space="preserve">(Le cas échéant)</w:t>
      </w:r>
      <w:r>
        <w:rPr>
          <w:color w:val="0070c0"/>
        </w:rPr>
        <w:t xml:space="preserve">, </w:t>
      </w:r>
      <w:r>
        <w:t xml:space="preserve">De limiter l’usage du véhicule de fonction de la manière suivante : … </w:t>
      </w:r>
      <w:r>
        <w:rPr>
          <w:i/>
        </w:rPr>
        <w:t xml:space="preserve">(</w:t>
      </w:r>
      <w:r>
        <w:rPr>
          <w:i/>
          <w:color w:val="0070c0"/>
        </w:rPr>
        <w:t xml:space="preserve">indication des limitations- exemple : covoiturage, prêt du véhicule à un tiers, etc.)</w:t>
      </w:r>
      <w:r>
        <w:t xml:space="preserve">.</w:t>
      </w:r>
      <w:r/>
    </w:p>
    <w:p>
      <w:pPr>
        <w:pBdr/>
        <w:spacing/>
        <w:ind w:right="72"/>
        <w:rPr/>
      </w:pPr>
      <w:r/>
      <w:r/>
    </w:p>
    <w:p>
      <w:pPr>
        <w:pBdr/>
        <w:spacing/>
        <w:ind w:right="72"/>
        <w:rPr/>
      </w:pPr>
      <w:r>
        <w:rPr>
          <w:b/>
          <w:bCs/>
          <w:u w:val="single"/>
        </w:rPr>
        <w:t xml:space="preserve">Article 6</w:t>
      </w:r>
      <w:r>
        <w:t xml:space="preserve"> :</w:t>
      </w:r>
      <w:r/>
    </w:p>
    <w:p>
      <w:pPr>
        <w:pBdr/>
        <w:spacing/>
        <w:ind w:right="72"/>
        <w:rPr/>
      </w:pPr>
      <w:r>
        <w:t xml:space="preserve">De rappeler qu’il appartient à l’autorité territoriale, conformément aux articles L.121-</w:t>
      </w:r>
      <w:r>
        <w:t xml:space="preserve">2,  L.121</w:t>
      </w:r>
      <w:r>
        <w:t xml:space="preserve">-3 et L.121-6 du Cod</w:t>
      </w:r>
      <w:r>
        <w:t xml:space="preserve">e de la route, de désigner le conducteur d’un véhicule de fonction responsable d’une infraction au Code de la route et que le paiement des montants de contraventions liées aux infractions à ce code relève de la responsabilité exclusive de l’agent concerné.</w:t>
      </w:r>
      <w:r/>
    </w:p>
    <w:p>
      <w:pPr>
        <w:pBdr/>
        <w:spacing/>
        <w:ind w:right="72"/>
        <w:rPr/>
      </w:pPr>
      <w:r/>
      <w:r/>
    </w:p>
    <w:p>
      <w:pPr>
        <w:pBdr/>
        <w:spacing/>
        <w:ind w:right="72"/>
        <w:rPr/>
      </w:pPr>
      <w:r>
        <w:rPr>
          <w:b/>
          <w:bCs/>
          <w:u w:val="single"/>
        </w:rPr>
        <w:t xml:space="preserve">Article 7</w:t>
      </w:r>
      <w:r>
        <w:t xml:space="preserve"> :</w:t>
      </w:r>
      <w:r/>
    </w:p>
    <w:p>
      <w:pPr>
        <w:pBdr/>
        <w:spacing/>
        <w:ind w:right="72"/>
        <w:rPr/>
      </w:pPr>
      <w:r>
        <w:t xml:space="preserve">Que les crédits nécessaires seront inscrits au budget principal.</w:t>
      </w:r>
      <w:r/>
    </w:p>
    <w:p>
      <w:pPr>
        <w:pBdr/>
        <w:spacing/>
        <w:ind w:right="72"/>
        <w:rPr/>
      </w:pPr>
      <w:r/>
      <w:r/>
    </w:p>
    <w:p>
      <w:pPr>
        <w:pBdr/>
        <w:spacing/>
        <w:ind w:right="72"/>
        <w:rPr/>
      </w:pPr>
      <w:r>
        <w:rPr>
          <w:b/>
          <w:bCs/>
          <w:u w:val="single"/>
        </w:rPr>
        <w:t xml:space="preserve">Article 8</w:t>
      </w:r>
      <w:r>
        <w:t xml:space="preserve"> :</w:t>
      </w:r>
      <w:r/>
    </w:p>
    <w:p>
      <w:pPr>
        <w:pBdr/>
        <w:spacing/>
        <w:ind w:right="72"/>
        <w:rPr/>
      </w:pPr>
      <w:r>
        <w:t xml:space="preserve">Que Monsieur le Maire est chargé de prendre toutes les mesures nécessaires à l’exécution de la présente délibération.</w:t>
      </w:r>
      <w:r/>
    </w:p>
    <w:p>
      <w:pPr>
        <w:pBdr/>
        <w:spacing/>
        <w:ind w:right="72"/>
        <w:rPr/>
      </w:pPr>
      <w:r/>
      <w:r/>
    </w:p>
    <w:p>
      <w:pPr>
        <w:pBdr/>
        <w:tabs>
          <w:tab w:val="left" w:leader="none" w:pos="851"/>
        </w:tabs>
        <w:spacing/>
        <w:ind/>
        <w:rPr/>
      </w:pPr>
      <w:r/>
      <w:r/>
    </w:p>
    <w:p>
      <w:pPr>
        <w:pBdr/>
        <w:tabs>
          <w:tab w:val="left" w:leader="none" w:pos="851"/>
        </w:tabs>
        <w:spacing/>
        <w:ind/>
        <w:rPr/>
      </w:pPr>
      <w:r/>
      <w:r/>
    </w:p>
    <w:p>
      <w:pPr>
        <w:pStyle w:val="684"/>
        <w:pBdr/>
        <w:spacing w:after="0"/>
        <w:ind w:firstLine="0"/>
        <w:rPr>
          <w:rFonts w:ascii="Avenir Next LT Pro" w:hAnsi="Avenir Next LT Pro" w:cs="Times New Roman"/>
          <w:sz w:val="22"/>
          <w:szCs w:val="22"/>
        </w:rPr>
      </w:pPr>
      <w:r>
        <w:rPr>
          <w:rFonts w:ascii="Avenir Next LT Pro" w:hAnsi="Avenir Next LT Pro" w:cs="Times New Roman"/>
          <w:sz w:val="22"/>
          <w:szCs w:val="22"/>
        </w:rPr>
        <w:t xml:space="preserve">Fait à ..............................., le .........................</w:t>
      </w:r>
      <w:r>
        <w:rPr>
          <w:rFonts w:ascii="Avenir Next LT Pro" w:hAnsi="Avenir Next LT Pro" w:cs="Times New Roman"/>
          <w:sz w:val="22"/>
          <w:szCs w:val="22"/>
        </w:rPr>
      </w:r>
    </w:p>
    <w:p>
      <w:pPr>
        <w:pStyle w:val="684"/>
        <w:pBdr/>
        <w:spacing w:after="0"/>
        <w:ind w:firstLine="0"/>
        <w:rPr>
          <w:rFonts w:ascii="Avenir Next LT Pro" w:hAnsi="Avenir Next LT Pro" w:cs="Times New Roman"/>
          <w:sz w:val="22"/>
          <w:szCs w:val="22"/>
        </w:rPr>
      </w:pPr>
      <w:r>
        <w:rPr>
          <w:rFonts w:ascii="Avenir Next LT Pro" w:hAnsi="Avenir Next LT Pro" w:cs="Times New Roman"/>
          <w:sz w:val="22"/>
          <w:szCs w:val="22"/>
        </w:rPr>
      </w:r>
      <w:r>
        <w:rPr>
          <w:rFonts w:ascii="Avenir Next LT Pro" w:hAnsi="Avenir Next LT Pro" w:cs="Times New Roman"/>
          <w:sz w:val="22"/>
          <w:szCs w:val="22"/>
        </w:rPr>
      </w:r>
    </w:p>
    <w:p>
      <w:pPr>
        <w:pStyle w:val="684"/>
        <w:pBdr/>
        <w:spacing w:after="0"/>
        <w:ind w:firstLine="0"/>
        <w:rPr>
          <w:rFonts w:ascii="Avenir Next LT Pro" w:hAnsi="Avenir Next LT Pro" w:cs="Times New Roman"/>
          <w:sz w:val="22"/>
          <w:szCs w:val="22"/>
        </w:rPr>
      </w:pPr>
      <w:r>
        <w:rPr>
          <w:rFonts w:ascii="Avenir Next LT Pro" w:hAnsi="Avenir Next LT Pro" w:cs="Times New Roman"/>
          <w:sz w:val="22"/>
          <w:szCs w:val="22"/>
        </w:rPr>
        <w:t xml:space="preserve">Suivent les signatures</w:t>
      </w:r>
      <w:r>
        <w:rPr>
          <w:rFonts w:ascii="Avenir Next LT Pro" w:hAnsi="Avenir Next LT Pro" w:cs="Times New Roman"/>
          <w:sz w:val="22"/>
          <w:szCs w:val="22"/>
        </w:rPr>
      </w:r>
    </w:p>
    <w:p>
      <w:pPr>
        <w:pStyle w:val="684"/>
        <w:pBdr/>
        <w:spacing w:after="0"/>
        <w:ind w:firstLine="0"/>
        <w:rPr>
          <w:rFonts w:ascii="Avenir Next LT Pro" w:hAnsi="Avenir Next LT Pro" w:cs="Times New Roman"/>
          <w:sz w:val="22"/>
          <w:szCs w:val="22"/>
        </w:rPr>
      </w:pPr>
      <w:r>
        <w:rPr>
          <w:rFonts w:ascii="Avenir Next LT Pro" w:hAnsi="Avenir Next LT Pro" w:cs="Times New Roman"/>
          <w:sz w:val="22"/>
          <w:szCs w:val="22"/>
        </w:rPr>
      </w:r>
      <w:r>
        <w:rPr>
          <w:rFonts w:ascii="Avenir Next LT Pro" w:hAnsi="Avenir Next LT Pro" w:cs="Times New Roman"/>
          <w:sz w:val="22"/>
          <w:szCs w:val="22"/>
        </w:rPr>
      </w:r>
    </w:p>
    <w:p>
      <w:pPr>
        <w:pStyle w:val="684"/>
        <w:pBdr/>
        <w:spacing w:after="0"/>
        <w:ind w:firstLine="0"/>
        <w:rPr>
          <w:rFonts w:ascii="Avenir Next LT Pro" w:hAnsi="Avenir Next LT Pro" w:cs="Times New Roman"/>
          <w:sz w:val="22"/>
          <w:szCs w:val="22"/>
        </w:rPr>
      </w:pPr>
      <w:r>
        <w:rPr>
          <w:rFonts w:ascii="Avenir Next LT Pro" w:hAnsi="Avenir Next LT Pro" w:cs="Times New Roman"/>
          <w:sz w:val="22"/>
          <w:szCs w:val="22"/>
        </w:rPr>
        <w:t xml:space="preserve">P. extrait conforme</w:t>
      </w:r>
      <w:r>
        <w:rPr>
          <w:rFonts w:ascii="Avenir Next LT Pro" w:hAnsi="Avenir Next LT Pro" w:cs="Times New Roman"/>
          <w:sz w:val="22"/>
          <w:szCs w:val="22"/>
        </w:rPr>
      </w:r>
    </w:p>
    <w:p>
      <w:pPr>
        <w:pStyle w:val="684"/>
        <w:pBdr/>
        <w:spacing w:after="0"/>
        <w:ind w:firstLine="0"/>
        <w:rPr>
          <w:rFonts w:ascii="Avenir Next LT Pro" w:hAnsi="Avenir Next LT Pro" w:cs="Times New Roman"/>
          <w:sz w:val="22"/>
          <w:szCs w:val="22"/>
        </w:rPr>
      </w:pPr>
      <w:r>
        <w:rPr>
          <w:rFonts w:ascii="Avenir Next LT Pro" w:hAnsi="Avenir Next LT Pro" w:cs="Times New Roman"/>
          <w:sz w:val="22"/>
          <w:szCs w:val="22"/>
        </w:rPr>
      </w:r>
      <w:r>
        <w:rPr>
          <w:rFonts w:ascii="Avenir Next LT Pro" w:hAnsi="Avenir Next LT Pro" w:cs="Times New Roman"/>
          <w:sz w:val="22"/>
          <w:szCs w:val="22"/>
        </w:rPr>
      </w:r>
    </w:p>
    <w:p>
      <w:pPr>
        <w:pStyle w:val="684"/>
        <w:pBdr/>
        <w:spacing w:after="0"/>
        <w:ind w:firstLine="0"/>
        <w:rPr>
          <w:rFonts w:ascii="Avenir Next LT Pro" w:hAnsi="Avenir Next LT Pro" w:cs="Times New Roman"/>
          <w:i/>
          <w:sz w:val="22"/>
          <w:szCs w:val="22"/>
        </w:rPr>
      </w:pPr>
      <w:r>
        <w:rPr>
          <w:rFonts w:ascii="Avenir Next LT Pro" w:hAnsi="Avenir Next LT Pro" w:cs="Times New Roman"/>
          <w:sz w:val="22"/>
          <w:szCs w:val="22"/>
        </w:rPr>
        <w:t xml:space="preserve">Le ………………</w:t>
      </w:r>
      <w:r>
        <w:rPr>
          <w:rFonts w:ascii="Avenir Next LT Pro" w:hAnsi="Avenir Next LT Pro" w:cs="Times New Roman"/>
          <w:sz w:val="22"/>
          <w:szCs w:val="22"/>
        </w:rPr>
        <w:t xml:space="preserve">…….</w:t>
      </w:r>
      <w:r>
        <w:rPr>
          <w:rFonts w:ascii="Avenir Next LT Pro" w:hAnsi="Avenir Next LT Pro" w:cs="Times New Roman"/>
          <w:sz w:val="22"/>
          <w:szCs w:val="22"/>
        </w:rPr>
        <w:t xml:space="preserve">. </w:t>
      </w:r>
      <w:r>
        <w:rPr>
          <w:rFonts w:ascii="Avenir Next LT Pro" w:hAnsi="Avenir Next LT Pro" w:cs="Times New Roman"/>
          <w:i/>
          <w:sz w:val="22"/>
          <w:szCs w:val="22"/>
        </w:rPr>
        <w:t xml:space="preserve">(</w:t>
      </w:r>
      <w:r>
        <w:rPr>
          <w:rFonts w:ascii="Avenir Next LT Pro" w:hAnsi="Avenir Next LT Pro" w:cs="Times New Roman"/>
          <w:i/>
          <w:color w:val="0070c0"/>
          <w:sz w:val="22"/>
          <w:szCs w:val="22"/>
        </w:rPr>
        <w:t xml:space="preserve">autorité</w:t>
      </w:r>
      <w:r>
        <w:rPr>
          <w:rFonts w:ascii="Avenir Next LT Pro" w:hAnsi="Avenir Next LT Pro" w:cs="Times New Roman"/>
          <w:i/>
          <w:color w:val="0070c0"/>
          <w:sz w:val="22"/>
          <w:szCs w:val="22"/>
        </w:rPr>
        <w:t xml:space="preserve"> territoriale</w:t>
      </w:r>
      <w:r>
        <w:rPr>
          <w:rFonts w:ascii="Avenir Next LT Pro" w:hAnsi="Avenir Next LT Pro" w:cs="Times New Roman"/>
          <w:i/>
          <w:sz w:val="22"/>
          <w:szCs w:val="22"/>
        </w:rPr>
        <w:t xml:space="preserve">)</w:t>
      </w:r>
      <w:r>
        <w:rPr>
          <w:rFonts w:ascii="Avenir Next LT Pro" w:hAnsi="Avenir Next LT Pro" w:cs="Times New Roman"/>
          <w:i/>
          <w:sz w:val="22"/>
          <w:szCs w:val="22"/>
        </w:rPr>
      </w:r>
    </w:p>
    <w:p>
      <w:pPr>
        <w:pStyle w:val="684"/>
        <w:pBdr/>
        <w:spacing w:after="0"/>
        <w:ind w:firstLine="0"/>
        <w:rPr>
          <w:rFonts w:ascii="Avenir Next LT Pro" w:hAnsi="Avenir Next LT Pro" w:cs="Times New Roman"/>
          <w:i/>
          <w:sz w:val="22"/>
          <w:szCs w:val="22"/>
        </w:rPr>
      </w:pPr>
      <w:r>
        <w:rPr>
          <w:rFonts w:ascii="Avenir Next LT Pro" w:hAnsi="Avenir Next LT Pro" w:cs="Times New Roman"/>
          <w:i/>
          <w:sz w:val="22"/>
          <w:szCs w:val="22"/>
        </w:rPr>
      </w:r>
      <w:r>
        <w:rPr>
          <w:rFonts w:ascii="Avenir Next LT Pro" w:hAnsi="Avenir Next LT Pro" w:cs="Times New Roman"/>
          <w:i/>
          <w:sz w:val="22"/>
          <w:szCs w:val="22"/>
        </w:rPr>
      </w:r>
    </w:p>
    <w:p>
      <w:pPr>
        <w:pStyle w:val="684"/>
        <w:pBdr/>
        <w:spacing w:after="0"/>
        <w:ind w:firstLine="0"/>
        <w:rPr>
          <w:rFonts w:ascii="Avenir Next LT Pro" w:hAnsi="Avenir Next LT Pro" w:cs="Times New Roman"/>
          <w:i/>
          <w:sz w:val="22"/>
          <w:szCs w:val="22"/>
        </w:rPr>
      </w:pPr>
      <w:r>
        <w:rPr>
          <w:rFonts w:ascii="Avenir Next LT Pro" w:hAnsi="Avenir Next LT Pro" w:cs="Times New Roman"/>
          <w:i/>
          <w:sz w:val="22"/>
          <w:szCs w:val="22"/>
        </w:rPr>
        <w:t xml:space="preserve">(</w:t>
      </w:r>
      <w:r>
        <w:rPr>
          <w:rFonts w:ascii="Avenir Next LT Pro" w:hAnsi="Avenir Next LT Pro" w:cs="Times New Roman"/>
          <w:i/>
          <w:color w:val="0070c0"/>
          <w:sz w:val="22"/>
          <w:szCs w:val="22"/>
        </w:rPr>
        <w:t xml:space="preserve">Nom  Prénom</w:t>
      </w:r>
      <w:r>
        <w:rPr>
          <w:rFonts w:ascii="Avenir Next LT Pro" w:hAnsi="Avenir Next LT Pro" w:cs="Times New Roman"/>
          <w:i/>
          <w:sz w:val="22"/>
          <w:szCs w:val="22"/>
        </w:rPr>
        <w:t xml:space="preserve">)</w:t>
      </w:r>
      <w:r>
        <w:rPr>
          <w:rFonts w:ascii="Avenir Next LT Pro" w:hAnsi="Avenir Next LT Pro" w:cs="Times New Roman"/>
          <w:i/>
          <w:sz w:val="22"/>
          <w:szCs w:val="22"/>
        </w:rPr>
      </w:r>
    </w:p>
    <w:p>
      <w:pPr>
        <w:pStyle w:val="684"/>
        <w:pBdr/>
        <w:spacing w:after="0"/>
        <w:ind w:firstLine="0"/>
        <w:rPr>
          <w:rFonts w:ascii="Avenir Next LT Pro" w:hAnsi="Avenir Next LT Pro" w:cs="Times New Roman"/>
          <w:i/>
          <w:sz w:val="22"/>
          <w:szCs w:val="22"/>
        </w:rPr>
      </w:pPr>
      <w:r>
        <w:rPr>
          <w:rFonts w:ascii="Avenir Next LT Pro" w:hAnsi="Avenir Next LT Pro" w:cs="Times New Roman"/>
          <w:i/>
          <w:sz w:val="22"/>
          <w:szCs w:val="22"/>
        </w:rPr>
      </w:r>
      <w:r>
        <w:rPr>
          <w:rFonts w:ascii="Avenir Next LT Pro" w:hAnsi="Avenir Next LT Pro" w:cs="Times New Roman"/>
          <w:i/>
          <w:sz w:val="22"/>
          <w:szCs w:val="22"/>
        </w:rPr>
      </w:r>
    </w:p>
    <w:p>
      <w:pPr>
        <w:pStyle w:val="684"/>
        <w:pBdr/>
        <w:spacing w:after="0"/>
        <w:ind w:firstLine="0"/>
        <w:rPr>
          <w:rFonts w:ascii="Avenir Next LT Pro" w:hAnsi="Avenir Next LT Pro" w:cs="Times New Roman"/>
          <w:i/>
          <w:sz w:val="22"/>
          <w:szCs w:val="22"/>
        </w:rPr>
      </w:pPr>
      <w:r>
        <w:rPr>
          <w:rFonts w:ascii="Avenir Next LT Pro" w:hAnsi="Avenir Next LT Pro" w:cs="Times New Roman"/>
          <w:i/>
          <w:sz w:val="22"/>
          <w:szCs w:val="22"/>
        </w:rPr>
        <w:t xml:space="preserve">(</w:t>
      </w:r>
      <w:r>
        <w:rPr>
          <w:rFonts w:ascii="Avenir Next LT Pro" w:hAnsi="Avenir Next LT Pro" w:cs="Times New Roman"/>
          <w:i/>
          <w:color w:val="0070c0"/>
          <w:sz w:val="22"/>
          <w:szCs w:val="22"/>
        </w:rPr>
        <w:t xml:space="preserve">signature</w:t>
      </w:r>
      <w:r>
        <w:rPr>
          <w:rFonts w:ascii="Avenir Next LT Pro" w:hAnsi="Avenir Next LT Pro" w:cs="Times New Roman"/>
          <w:i/>
          <w:sz w:val="22"/>
          <w:szCs w:val="22"/>
        </w:rPr>
        <w:t xml:space="preserve">)</w:t>
      </w:r>
      <w:r>
        <w:rPr>
          <w:rFonts w:ascii="Avenir Next LT Pro" w:hAnsi="Avenir Next LT Pro" w:cs="Times New Roman"/>
          <w:i/>
          <w:sz w:val="22"/>
          <w:szCs w:val="22"/>
        </w:rPr>
      </w:r>
    </w:p>
    <w:p>
      <w:pPr>
        <w:pStyle w:val="684"/>
        <w:pBdr/>
        <w:spacing w:after="0"/>
        <w:ind w:firstLine="0"/>
        <w:rPr>
          <w:rFonts w:ascii="Avenir Next LT Pro" w:hAnsi="Avenir Next LT Pro" w:cs="Times New Roman"/>
          <w:sz w:val="22"/>
          <w:szCs w:val="22"/>
        </w:rPr>
      </w:pPr>
      <w:r>
        <w:rPr>
          <w:rFonts w:ascii="Avenir Next LT Pro" w:hAnsi="Avenir Next LT Pro" w:cs="Times New Roman"/>
          <w:sz w:val="22"/>
          <w:szCs w:val="22"/>
        </w:rPr>
      </w:r>
      <w:r>
        <w:rPr>
          <w:rFonts w:ascii="Avenir Next LT Pro" w:hAnsi="Avenir Next LT Pro" w:cs="Times New Roman"/>
          <w:sz w:val="22"/>
          <w:szCs w:val="22"/>
        </w:rPr>
      </w:r>
    </w:p>
    <w:p>
      <w:pPr>
        <w:pStyle w:val="684"/>
        <w:pBdr/>
        <w:spacing w:after="0"/>
        <w:ind w:firstLine="0"/>
        <w:rPr>
          <w:rFonts w:ascii="Avenir Next LT Pro" w:hAnsi="Avenir Next LT Pro" w:cs="Times New Roman"/>
          <w:sz w:val="22"/>
          <w:szCs w:val="22"/>
        </w:rPr>
      </w:pPr>
      <w:r>
        <w:rPr>
          <w:rFonts w:ascii="Avenir Next LT Pro" w:hAnsi="Avenir Next LT Pro" w:cs="Times New Roman"/>
          <w:sz w:val="22"/>
          <w:szCs w:val="22"/>
        </w:rPr>
      </w:r>
      <w:r>
        <w:rPr>
          <w:rFonts w:ascii="Avenir Next LT Pro" w:hAnsi="Avenir Next LT Pro" w:cs="Times New Roman"/>
          <w:sz w:val="22"/>
          <w:szCs w:val="22"/>
        </w:rPr>
      </w:r>
    </w:p>
    <w:p>
      <w:pPr>
        <w:pStyle w:val="684"/>
        <w:pBdr/>
        <w:spacing w:after="0"/>
        <w:ind w:firstLine="0"/>
        <w:rPr>
          <w:rFonts w:ascii="Avenir Next LT Pro" w:hAnsi="Avenir Next LT Pro" w:cs="Times New Roman"/>
          <w:sz w:val="22"/>
          <w:szCs w:val="22"/>
        </w:rPr>
      </w:pPr>
      <w:r>
        <w:rPr>
          <w:rFonts w:ascii="Avenir Next LT Pro" w:hAnsi="Avenir Next LT Pro" w:cs="Times New Roman"/>
          <w:sz w:val="22"/>
          <w:szCs w:val="22"/>
        </w:rPr>
        <w:t xml:space="preserve">Transmis au représentant de l’état le</w:t>
      </w:r>
      <w:r>
        <w:rPr>
          <w:rFonts w:ascii="Avenir Next LT Pro" w:hAnsi="Avenir Next LT Pro" w:cs="Times New Roman"/>
          <w:sz w:val="22"/>
          <w:szCs w:val="22"/>
        </w:rPr>
        <w:t xml:space="preserve"> :…</w:t>
      </w:r>
      <w:r>
        <w:rPr>
          <w:rFonts w:ascii="Avenir Next LT Pro" w:hAnsi="Avenir Next LT Pro" w:cs="Times New Roman"/>
          <w:sz w:val="22"/>
          <w:szCs w:val="22"/>
        </w:rPr>
        <w:t xml:space="preserve">……</w:t>
      </w:r>
      <w:r>
        <w:rPr>
          <w:rFonts w:ascii="Avenir Next LT Pro" w:hAnsi="Avenir Next LT Pro" w:cs="Times New Roman"/>
          <w:sz w:val="22"/>
          <w:szCs w:val="22"/>
        </w:rPr>
        <w:t xml:space="preserve">…….</w:t>
      </w:r>
      <w:r>
        <w:rPr>
          <w:rFonts w:ascii="Avenir Next LT Pro" w:hAnsi="Avenir Next LT Pro" w:cs="Times New Roman"/>
          <w:sz w:val="22"/>
          <w:szCs w:val="22"/>
        </w:rPr>
        <w:t xml:space="preserve">.</w:t>
      </w:r>
      <w:r>
        <w:rPr>
          <w:rFonts w:ascii="Avenir Next LT Pro" w:hAnsi="Avenir Next LT Pro" w:cs="Times New Roman"/>
          <w:sz w:val="22"/>
          <w:szCs w:val="22"/>
        </w:rPr>
      </w:r>
    </w:p>
    <w:p>
      <w:pPr>
        <w:pBdr/>
        <w:spacing/>
        <w:ind/>
        <w:rPr/>
      </w:pPr>
      <w:r>
        <w:t xml:space="preserve">Publié le ……………………………………………</w:t>
      </w:r>
      <w:r/>
    </w:p>
    <w:sectPr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Segoe UI">
    <w:panose1 w:val="020B0502040504020204"/>
  </w:font>
  <w:font w:name="Bookman Old Style">
    <w:panose1 w:val="02060603050605020204"/>
  </w:font>
  <w:font w:name="Times New Roman">
    <w:panose1 w:val="02020603050405020304"/>
  </w:font>
  <w:font w:name="Avenir Next LT Pro">
    <w:panose1 w:val="020B06030308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D73554"/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4BAC3FDB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7D0A4F5D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720" w:left="720"/>
      </w:pPr>
      <w:pStyle w:val="676"/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72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72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72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72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72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72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72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720" w:left="6480"/>
      </w:pPr>
      <w:rPr/>
      <w:start w:val="1"/>
      <w:suff w:val="tab"/>
    </w:lvl>
  </w:abstractNum>
  <w:abstractNum w:abstractNumId="3">
    <w:nsid w:val="7D4A42FE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eastAsia="Times New Roman" w:cs="Times New Roman"/>
      </w:rPr>
      <w:start w:val="0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num w:numId="1">
    <w:abstractNumId w:val="0"/>
  </w:num>
  <w:num w:numId="2">
    <w:abstractNumId w:val="2"/>
  </w:num>
  <w:num w:numId="3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72"/>
    <w:next w:val="672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72"/>
    <w:next w:val="672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72"/>
    <w:next w:val="672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72"/>
    <w:next w:val="672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72"/>
    <w:next w:val="672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72"/>
    <w:next w:val="672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72"/>
    <w:next w:val="672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72"/>
    <w:next w:val="672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72"/>
    <w:next w:val="672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73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73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73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73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73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73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73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73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73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72"/>
    <w:next w:val="672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73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72"/>
    <w:next w:val="672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73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72"/>
    <w:next w:val="672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73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72"/>
    <w:next w:val="672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73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72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73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73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7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72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73"/>
    <w:link w:val="176"/>
    <w:uiPriority w:val="99"/>
    <w:pPr>
      <w:pBdr/>
      <w:spacing/>
      <w:ind/>
    </w:pPr>
  </w:style>
  <w:style w:type="paragraph" w:styleId="178">
    <w:name w:val="Footer"/>
    <w:basedOn w:val="672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73"/>
    <w:link w:val="178"/>
    <w:uiPriority w:val="99"/>
    <w:pPr>
      <w:pBdr/>
      <w:spacing/>
      <w:ind/>
    </w:pPr>
  </w:style>
  <w:style w:type="paragraph" w:styleId="180">
    <w:name w:val="Caption"/>
    <w:basedOn w:val="672"/>
    <w:next w:val="67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72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73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73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72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73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73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7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72"/>
    <w:next w:val="672"/>
    <w:uiPriority w:val="39"/>
    <w:unhideWhenUsed/>
    <w:pPr>
      <w:pBdr/>
      <w:spacing w:after="100"/>
      <w:ind/>
    </w:pPr>
  </w:style>
  <w:style w:type="paragraph" w:styleId="190">
    <w:name w:val="toc 2"/>
    <w:basedOn w:val="672"/>
    <w:next w:val="672"/>
    <w:uiPriority w:val="39"/>
    <w:unhideWhenUsed/>
    <w:pPr>
      <w:pBdr/>
      <w:spacing w:after="100"/>
      <w:ind w:left="220"/>
    </w:pPr>
  </w:style>
  <w:style w:type="paragraph" w:styleId="191">
    <w:name w:val="toc 3"/>
    <w:basedOn w:val="672"/>
    <w:next w:val="672"/>
    <w:uiPriority w:val="39"/>
    <w:unhideWhenUsed/>
    <w:pPr>
      <w:pBdr/>
      <w:spacing w:after="100"/>
      <w:ind w:left="440"/>
    </w:pPr>
  </w:style>
  <w:style w:type="paragraph" w:styleId="192">
    <w:name w:val="toc 4"/>
    <w:basedOn w:val="672"/>
    <w:next w:val="672"/>
    <w:uiPriority w:val="39"/>
    <w:unhideWhenUsed/>
    <w:pPr>
      <w:pBdr/>
      <w:spacing w:after="100"/>
      <w:ind w:left="660"/>
    </w:pPr>
  </w:style>
  <w:style w:type="paragraph" w:styleId="193">
    <w:name w:val="toc 5"/>
    <w:basedOn w:val="672"/>
    <w:next w:val="672"/>
    <w:uiPriority w:val="39"/>
    <w:unhideWhenUsed/>
    <w:pPr>
      <w:pBdr/>
      <w:spacing w:after="100"/>
      <w:ind w:left="880"/>
    </w:pPr>
  </w:style>
  <w:style w:type="paragraph" w:styleId="194">
    <w:name w:val="toc 6"/>
    <w:basedOn w:val="672"/>
    <w:next w:val="672"/>
    <w:uiPriority w:val="39"/>
    <w:unhideWhenUsed/>
    <w:pPr>
      <w:pBdr/>
      <w:spacing w:after="100"/>
      <w:ind w:left="1100"/>
    </w:pPr>
  </w:style>
  <w:style w:type="paragraph" w:styleId="195">
    <w:name w:val="toc 7"/>
    <w:basedOn w:val="672"/>
    <w:next w:val="672"/>
    <w:uiPriority w:val="39"/>
    <w:unhideWhenUsed/>
    <w:pPr>
      <w:pBdr/>
      <w:spacing w:after="100"/>
      <w:ind w:left="1320"/>
    </w:pPr>
  </w:style>
  <w:style w:type="paragraph" w:styleId="196">
    <w:name w:val="toc 8"/>
    <w:basedOn w:val="672"/>
    <w:next w:val="672"/>
    <w:uiPriority w:val="39"/>
    <w:unhideWhenUsed/>
    <w:pPr>
      <w:pBdr/>
      <w:spacing w:after="100"/>
      <w:ind w:left="1540"/>
    </w:pPr>
  </w:style>
  <w:style w:type="paragraph" w:styleId="197">
    <w:name w:val="toc 9"/>
    <w:basedOn w:val="672"/>
    <w:next w:val="672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73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72"/>
    <w:next w:val="672"/>
    <w:uiPriority w:val="99"/>
    <w:unhideWhenUsed/>
    <w:pPr>
      <w:pBdr/>
      <w:spacing w:after="0" w:afterAutospacing="0"/>
      <w:ind/>
    </w:pPr>
  </w:style>
  <w:style w:type="paragraph" w:styleId="672" w:default="1">
    <w:name w:val="Normal"/>
    <w:qFormat/>
    <w:pPr>
      <w:pBdr/>
      <w:spacing w:after="0" w:line="240" w:lineRule="auto"/>
      <w:ind/>
      <w:jc w:val="both"/>
    </w:pPr>
    <w:rPr>
      <w:rFonts w:ascii="Avenir Next LT Pro" w:hAnsi="Avenir Next LT Pro" w:eastAsia="Times New Roman" w:cs="Times New Roman"/>
    </w:rPr>
  </w:style>
  <w:style w:type="character" w:styleId="673" w:default="1">
    <w:name w:val="Default Paragraph Font"/>
    <w:uiPriority w:val="1"/>
    <w:semiHidden/>
    <w:unhideWhenUsed/>
    <w:pPr>
      <w:pBdr/>
      <w:spacing/>
      <w:ind/>
    </w:pPr>
  </w:style>
  <w:style w:type="table" w:styleId="67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5" w:default="1">
    <w:name w:val="No List"/>
    <w:uiPriority w:val="99"/>
    <w:semiHidden/>
    <w:unhideWhenUsed/>
    <w:pPr>
      <w:pBdr/>
      <w:spacing/>
      <w:ind/>
    </w:pPr>
  </w:style>
  <w:style w:type="paragraph" w:styleId="676" w:customStyle="1">
    <w:name w:val="123 consultation"/>
    <w:basedOn w:val="678"/>
    <w:link w:val="677"/>
    <w:qFormat/>
    <w:pPr>
      <w:numPr>
        <w:numId w:val="2"/>
      </w:numPr>
      <w:pBdr/>
      <w:spacing w:after="120"/>
      <w:ind w:hanging="360"/>
    </w:pPr>
    <w:rPr>
      <w:rFonts w:ascii="Bookman Old Style" w:hAnsi="Bookman Old Style"/>
      <w:u w:val="single"/>
    </w:rPr>
  </w:style>
  <w:style w:type="character" w:styleId="677" w:customStyle="1">
    <w:name w:val="123 consultation Car"/>
    <w:basedOn w:val="673"/>
    <w:link w:val="676"/>
    <w:pPr>
      <w:pBdr/>
      <w:spacing/>
      <w:ind/>
    </w:pPr>
    <w:rPr>
      <w:rFonts w:ascii="Bookman Old Style" w:hAnsi="Bookman Old Style"/>
      <w:u w:val="single"/>
    </w:rPr>
  </w:style>
  <w:style w:type="paragraph" w:styleId="678">
    <w:name w:val="List Paragraph"/>
    <w:basedOn w:val="672"/>
    <w:uiPriority w:val="34"/>
    <w:qFormat/>
    <w:pPr>
      <w:pBdr/>
      <w:spacing/>
      <w:ind w:left="720"/>
      <w:contextualSpacing w:val="true"/>
    </w:pPr>
  </w:style>
  <w:style w:type="paragraph" w:styleId="679" w:customStyle="1">
    <w:name w:val="corps de texte"/>
    <w:basedOn w:val="672"/>
    <w:qFormat/>
    <w:pPr>
      <w:pBdr/>
      <w:spacing w:after="120" w:before="120"/>
      <w:ind w:firstLine="454"/>
    </w:pPr>
    <w:rPr>
      <w:rFonts w:ascii="Bookman Old Style" w:hAnsi="Bookman Old Style"/>
    </w:rPr>
  </w:style>
  <w:style w:type="paragraph" w:styleId="680" w:customStyle="1">
    <w:name w:val="abc consultation"/>
    <w:basedOn w:val="679"/>
    <w:next w:val="679"/>
    <w:qFormat/>
    <w:pPr>
      <w:pBdr/>
      <w:spacing/>
      <w:ind w:firstLine="0"/>
    </w:pPr>
    <w:rPr>
      <w:u w:val="single"/>
    </w:rPr>
  </w:style>
  <w:style w:type="character" w:styleId="681">
    <w:name w:val="annotation reference"/>
    <w:basedOn w:val="67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682">
    <w:name w:val="annotation text"/>
    <w:basedOn w:val="672"/>
    <w:link w:val="683"/>
    <w:uiPriority w:val="99"/>
    <w:unhideWhenUsed/>
    <w:pPr>
      <w:pBdr/>
      <w:spacing/>
      <w:ind/>
    </w:pPr>
  </w:style>
  <w:style w:type="character" w:styleId="683" w:customStyle="1">
    <w:name w:val="Commentaire Car"/>
    <w:basedOn w:val="673"/>
    <w:link w:val="682"/>
    <w:uiPriority w:val="99"/>
    <w:pPr>
      <w:pBdr/>
      <w:spacing/>
      <w:ind/>
    </w:pPr>
    <w:rPr>
      <w:rFonts w:ascii="Avenir Next LT Pro" w:hAnsi="Avenir Next LT Pro" w:eastAsia="Times New Roman" w:cs="Times New Roman"/>
    </w:rPr>
  </w:style>
  <w:style w:type="paragraph" w:styleId="684" w:customStyle="1">
    <w:name w:val="article : contenu"/>
    <w:basedOn w:val="672"/>
    <w:pPr>
      <w:pBdr/>
      <w:spacing w:after="140"/>
      <w:ind w:firstLine="567"/>
    </w:pPr>
    <w:rPr>
      <w:rFonts w:ascii="Arial" w:hAnsi="Arial" w:cs="Arial"/>
      <w:sz w:val="20"/>
      <w:szCs w:val="20"/>
      <w:lang w:eastAsia="fr-FR"/>
    </w:rPr>
  </w:style>
  <w:style w:type="paragraph" w:styleId="685">
    <w:name w:val="Balloon Text"/>
    <w:basedOn w:val="672"/>
    <w:link w:val="686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686" w:customStyle="1">
    <w:name w:val="Texte de bulles Car"/>
    <w:basedOn w:val="673"/>
    <w:link w:val="685"/>
    <w:uiPriority w:val="99"/>
    <w:semiHidden/>
    <w:pPr>
      <w:pBdr/>
      <w:spacing/>
      <w:ind/>
    </w:pPr>
    <w:rPr>
      <w:rFonts w:ascii="Segoe UI" w:hAnsi="Segoe UI" w:eastAsia="Times New Roman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Relationship Id="rId12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haredContentType xmlns="Microsoft.SharePoint.Taxonomy.ContentTypeSync" SourceId="080acc9f-a124-4651-8c21-27ed651001c5" ContentTypeId="0x0101" PreviousValue="tru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E204C32A15D438468B5F9DDF03213F0D" ma:contentTypeVersion="13" ma:contentTypeDescription="" ma:contentTypeScope="" ma:versionID="187c9634a11ea51aadf61cf91af60e65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86258b37-e61f-4aea-aa21-1b74290c6558" targetNamespace="http://schemas.microsoft.com/office/2006/metadata/properties" ma:root="true" ma:fieldsID="a80a8ef0884bbd351eb036c905044e11" ns2:_="" ns3:_="" ns4:_="">
    <xsd:import namespace="d13cbe4f-1448-46a5-af3f-2daad8b9242e"/>
    <xsd:import namespace="6fe09545-cdc4-43a9-9da5-abd37ca73394"/>
    <xsd:import namespace="86258b37-e61f-4aea-aa21-1b74290c6558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Procès verbal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apeurs-pompiers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Lignes directrices gestion"/>
        </xsd:restriction>
      </xsd:simpleType>
    </xsd:element>
    <xsd:element name="dce64921054a4cfeb178169aa5c80488" ma:index="2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2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2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3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3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58b37-e61f-4aea-aa21-1b74290c6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3cbe4f-1448-46a5-af3f-2daad8b9242e">
      <Value>48</Value>
    </TaxCatchAll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Description_x0020_site_x0020_internet xmlns="6fe09545-cdc4-43a9-9da5-abd37ca73394" xsi:nil="true"/>
    <Date_x0020_de_x0020_publication xmlns="6fe09545-cdc4-43a9-9da5-abd37ca73394">2025-08-11T22:00:00+00:00</Date_x0020_de_x0020_publication>
    <Tag xmlns="6fe09545-cdc4-43a9-9da5-abd37ca73394">Avantages en nature</Tag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c2084f14729a434b9e63fa47cbfacf48 xmlns="d13cbe4f-1448-46a5-af3f-2daad8b9242e">
      <Terms xmlns="http://schemas.microsoft.com/office/infopath/2007/PartnerControls"/>
    </c2084f14729a434b9e63fa47cbfacf48>
    <Thème_x0020_site_x0020_internet xmlns="6fe09545-cdc4-43a9-9da5-abd37ca73394">Modèles de délibération</Thème_x0020_site_x0020_internet>
    <od9de02ed0334f4c81549240fd5dbd7b xmlns="d13cbe4f-1448-46a5-af3f-2daad8b9242e">
      <Terms xmlns="http://schemas.microsoft.com/office/infopath/2007/PartnerControls"/>
    </od9de02ed0334f4c81549240fd5dbd7b>
    <Thème_x0020_3_x0020_site_x0020_internet xmlns="6fe09545-cdc4-43a9-9da5-abd37ca73394" xsi:nil="true"/>
    <Date_x0020_de_x0020_dépublication xmlns="6fe09545-cdc4-43a9-9da5-abd37ca73394" xsi:nil="true"/>
    <CATEGORIE xmlns="6fe09545-cdc4-43a9-9da5-abd37ca73394">Rémunération</CATEGORIE>
    <Thème_x0020_2_x0020_site_x0020_internet xmlns="6fe09545-cdc4-43a9-9da5-abd37ca7339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3BB9D4-294B-4237-BA72-C51D28022D4A}"/>
</file>

<file path=customXml/itemProps2.xml><?xml version="1.0" encoding="utf-8"?>
<ds:datastoreItem xmlns:ds="http://schemas.openxmlformats.org/officeDocument/2006/customXml" ds:itemID="{B5B701CB-378B-4656-A6E5-F22635FA8439}"/>
</file>

<file path=customXml/itemProps3.xml><?xml version="1.0" encoding="utf-8"?>
<ds:datastoreItem xmlns:ds="http://schemas.openxmlformats.org/officeDocument/2006/customXml" ds:itemID="{4B765AD5-C493-42F1-AB94-0FD634782650}">
  <ds:schemaRefs>
    <ds:schemaRef ds:uri="http://schemas.microsoft.com/office/2006/metadata/properties"/>
    <ds:schemaRef ds:uri="http://www.w3.org/2001/XMLSchema-instance"/>
    <ds:schemaRef ds:uri="http://schemas.microsoft.com/office/infopath/2007/PartnerControls"/>
    <ds:schemaRef ds:uri="002f9175-6b98-453e-8381-436e165ab70f"/>
    <ds:schemaRef ds:uri="d13cbe4f-1448-46a5-af3f-2daad8b9242e"/>
  </ds:schemaRefs>
</ds:datastoreItem>
</file>

<file path=customXml/itemProps4.xml><?xml version="1.0" encoding="utf-8"?>
<ds:datastoreItem xmlns:ds="http://schemas.openxmlformats.org/officeDocument/2006/customXml" ds:itemID="{E67A8C33-B955-4352-AE54-21E85F4F04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AVANTAGE EN NATURE : Délibération véhicule de fonction</dc:title>
  <dc:subject/>
  <dc:creator>Aurélie GARCIA</dc:creator>
  <cp:keywords/>
  <dc:description/>
  <cp:lastModifiedBy>Utilisateur</cp:lastModifiedBy>
  <cp:revision>3</cp:revision>
  <dcterms:created xsi:type="dcterms:W3CDTF">2025-07-16T09:56:00Z</dcterms:created>
  <dcterms:modified xsi:type="dcterms:W3CDTF">2025-08-12T08:00:28Z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0x010100DE67B4170B45E24899E1F0558CDB95BB00E204C32A15D438468B5F9DDF03213F0D</vt:lpwstr>
  </property>
  <property fmtid="{D5CDD505-2E9C-101B-9397-08002B2CF9AE}" pid="3" name="Nature_document">
    <vt:lpwstr>2568;#Modèle|c8002522-eb73-478f-a8d4-f44b1bb0cd88</vt:lpwstr>
  </property>
  <property fmtid="{D5CDD505-2E9C-101B-9397-08002B2CF9AE}" pid="4" name="Emetteur">
    <vt:lpwstr>2559;#Expertise RH mutualisée|ecb15c63-629d-4878-8364-d9bab165b640</vt:lpwstr>
  </property>
  <property fmtid="{D5CDD505-2E9C-101B-9397-08002B2CF9AE}" pid="5" name="Thematique">
    <vt:lpwstr>2564;#Rémunération|eabc127e-c6bc-4c0f-9349-6d75953b61d0</vt:lpwstr>
  </property>
  <property fmtid="{D5CDD505-2E9C-101B-9397-08002B2CF9AE}" pid="6" name="Sous_thematique">
    <vt:lpwstr>2593;#Action sociale|4dcd7ad2-d40e-4887-9a62-c650a83b110d</vt:lpwstr>
  </property>
  <property fmtid="{D5CDD505-2E9C-101B-9397-08002B2CF9AE}" pid="8" name="DMS_WebsiteTheme">
    <vt:lpwstr/>
  </property>
  <property fmtid="{D5CDD505-2E9C-101B-9397-08002B2CF9AE}" pid="9" name="Nature">
    <vt:lpwstr/>
  </property>
  <property fmtid="{D5CDD505-2E9C-101B-9397-08002B2CF9AE}" pid="10" name="DMS_Tag">
    <vt:lpwstr/>
  </property>
  <property fmtid="{D5CDD505-2E9C-101B-9397-08002B2CF9AE}" pid="11" name="DMS_TypeOfPublication">
    <vt:lpwstr>48;#Privé|9d61055b-725b-4297-9a77-8c5caa518546</vt:lpwstr>
  </property>
</Properties>
</file>