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8D19" w14:textId="289DEFD2" w:rsidR="00383D36" w:rsidRPr="00383D36" w:rsidRDefault="00383D36" w:rsidP="00383D36">
      <w:pPr>
        <w:pStyle w:val="Titre1"/>
        <w:jc w:val="center"/>
        <w:rPr>
          <w:b/>
          <w:u w:val="single"/>
        </w:rPr>
      </w:pPr>
      <w:bookmarkStart w:id="0" w:name="_Toc141707024"/>
      <w:bookmarkStart w:id="1" w:name="_Toc168664963"/>
      <w:bookmarkStart w:id="2" w:name="_GoBack"/>
      <w:r w:rsidRPr="00383D36">
        <w:rPr>
          <w:rFonts w:cstheme="minorHAnsi"/>
          <w:b/>
          <w:u w:val="single"/>
        </w:rPr>
        <w:t>MODÈLE DE DÉLIBÉRATION RELATIVE AUX MODALITÉS DE MISE EN ŒUVRE DU CPF</w:t>
      </w:r>
      <w:bookmarkEnd w:id="0"/>
      <w:bookmarkEnd w:id="1"/>
    </w:p>
    <w:bookmarkEnd w:id="2"/>
    <w:p w14:paraId="3854BBAB" w14:textId="77777777" w:rsidR="00383D36" w:rsidRDefault="00383D36" w:rsidP="00383D36">
      <w:pPr>
        <w:pStyle w:val="Default"/>
        <w:rPr>
          <w:rFonts w:ascii="Calibri" w:hAnsi="Calibri"/>
          <w:sz w:val="28"/>
        </w:rPr>
      </w:pPr>
    </w:p>
    <w:p w14:paraId="25B062D2" w14:textId="77777777" w:rsidR="00383D36" w:rsidRPr="00CF16CF" w:rsidRDefault="00383D36" w:rsidP="00383D36">
      <w:pPr>
        <w:pStyle w:val="Style2"/>
        <w:numPr>
          <w:ilvl w:val="0"/>
          <w:numId w:val="0"/>
        </w:numPr>
        <w:pBdr>
          <w:top w:val="single" w:sz="4" w:space="1" w:color="auto"/>
          <w:left w:val="single" w:sz="4" w:space="4" w:color="auto"/>
          <w:bottom w:val="single" w:sz="4" w:space="1" w:color="auto"/>
          <w:right w:val="single" w:sz="4" w:space="4" w:color="auto"/>
        </w:pBdr>
        <w:ind w:left="360"/>
        <w:jc w:val="center"/>
        <w:rPr>
          <w:i w:val="0"/>
          <w:color w:val="FF0000"/>
        </w:rPr>
      </w:pPr>
      <w:r w:rsidRPr="00CF16CF">
        <w:rPr>
          <w:i w:val="0"/>
          <w:color w:val="FF0000"/>
        </w:rPr>
        <w:t>Avertissement : ce projet constitue une trame générale.</w:t>
      </w:r>
    </w:p>
    <w:p w14:paraId="7ACBCD1B" w14:textId="77777777" w:rsidR="00383D36" w:rsidRDefault="00383D36" w:rsidP="00383D36">
      <w:pPr>
        <w:pStyle w:val="Style2"/>
        <w:numPr>
          <w:ilvl w:val="0"/>
          <w:numId w:val="0"/>
        </w:numPr>
        <w:pBdr>
          <w:top w:val="single" w:sz="4" w:space="1" w:color="auto"/>
          <w:left w:val="single" w:sz="4" w:space="4" w:color="auto"/>
          <w:bottom w:val="single" w:sz="4" w:space="1" w:color="auto"/>
          <w:right w:val="single" w:sz="4" w:space="4" w:color="auto"/>
        </w:pBdr>
        <w:ind w:left="360"/>
        <w:jc w:val="center"/>
        <w:rPr>
          <w:i w:val="0"/>
          <w:color w:val="FF0000"/>
        </w:rPr>
      </w:pPr>
      <w:r w:rsidRPr="00CF16CF">
        <w:rPr>
          <w:i w:val="0"/>
          <w:color w:val="FF0000"/>
        </w:rPr>
        <w:t xml:space="preserve">Les services du Centre de Gestion sont à la disposition des collectivités </w:t>
      </w:r>
    </w:p>
    <w:p w14:paraId="77887533" w14:textId="77777777" w:rsidR="00383D36" w:rsidRPr="00CF16CF" w:rsidRDefault="00383D36" w:rsidP="00383D36">
      <w:pPr>
        <w:pStyle w:val="Style2"/>
        <w:numPr>
          <w:ilvl w:val="0"/>
          <w:numId w:val="0"/>
        </w:numPr>
        <w:pBdr>
          <w:top w:val="single" w:sz="4" w:space="1" w:color="auto"/>
          <w:left w:val="single" w:sz="4" w:space="4" w:color="auto"/>
          <w:bottom w:val="single" w:sz="4" w:space="1" w:color="auto"/>
          <w:right w:val="single" w:sz="4" w:space="4" w:color="auto"/>
        </w:pBdr>
        <w:ind w:left="360"/>
        <w:jc w:val="center"/>
        <w:rPr>
          <w:i w:val="0"/>
          <w:color w:val="FF0000"/>
        </w:rPr>
      </w:pPr>
      <w:proofErr w:type="gramStart"/>
      <w:r w:rsidRPr="00CF16CF">
        <w:rPr>
          <w:i w:val="0"/>
          <w:color w:val="FF0000"/>
        </w:rPr>
        <w:t>pour</w:t>
      </w:r>
      <w:proofErr w:type="gramEnd"/>
      <w:r w:rsidRPr="00CF16CF">
        <w:rPr>
          <w:i w:val="0"/>
          <w:color w:val="FF0000"/>
        </w:rPr>
        <w:t xml:space="preserve"> adapter le projet selon les nécessités de chaque collectivité.</w:t>
      </w:r>
    </w:p>
    <w:p w14:paraId="4905110D" w14:textId="77777777" w:rsidR="00383D36" w:rsidRDefault="00383D36" w:rsidP="00383D36">
      <w:pPr>
        <w:pStyle w:val="Style2"/>
        <w:numPr>
          <w:ilvl w:val="0"/>
          <w:numId w:val="0"/>
        </w:numPr>
        <w:pBdr>
          <w:top w:val="single" w:sz="4" w:space="1" w:color="auto"/>
          <w:left w:val="single" w:sz="4" w:space="4" w:color="auto"/>
          <w:bottom w:val="single" w:sz="4" w:space="1" w:color="auto"/>
          <w:right w:val="single" w:sz="4" w:space="4" w:color="auto"/>
        </w:pBdr>
        <w:ind w:left="360"/>
        <w:jc w:val="center"/>
        <w:rPr>
          <w:i w:val="0"/>
          <w:color w:val="FF0000"/>
        </w:rPr>
      </w:pPr>
      <w:r w:rsidRPr="00CF16CF">
        <w:rPr>
          <w:i w:val="0"/>
          <w:color w:val="FF0000"/>
        </w:rPr>
        <w:t>Ce projet de délibération peut être utilisé (à l’état de projet)</w:t>
      </w:r>
    </w:p>
    <w:p w14:paraId="626BEC5F" w14:textId="77777777" w:rsidR="00383D36" w:rsidRPr="00CF16CF" w:rsidRDefault="00383D36" w:rsidP="00383D36">
      <w:pPr>
        <w:pStyle w:val="Style2"/>
        <w:numPr>
          <w:ilvl w:val="0"/>
          <w:numId w:val="0"/>
        </w:numPr>
        <w:pBdr>
          <w:top w:val="single" w:sz="4" w:space="1" w:color="auto"/>
          <w:left w:val="single" w:sz="4" w:space="4" w:color="auto"/>
          <w:bottom w:val="single" w:sz="4" w:space="1" w:color="auto"/>
          <w:right w:val="single" w:sz="4" w:space="4" w:color="auto"/>
        </w:pBdr>
        <w:ind w:left="360"/>
        <w:jc w:val="center"/>
        <w:rPr>
          <w:i w:val="0"/>
          <w:color w:val="FF0000"/>
        </w:rPr>
      </w:pPr>
      <w:r w:rsidRPr="00CF16CF">
        <w:rPr>
          <w:i w:val="0"/>
          <w:color w:val="FF0000"/>
        </w:rPr>
        <w:t xml:space="preserve"> </w:t>
      </w:r>
      <w:proofErr w:type="gramStart"/>
      <w:r w:rsidRPr="00CF16CF">
        <w:rPr>
          <w:i w:val="0"/>
          <w:color w:val="FF0000"/>
        </w:rPr>
        <w:t>pour</w:t>
      </w:r>
      <w:proofErr w:type="gramEnd"/>
      <w:r w:rsidRPr="00CF16CF">
        <w:rPr>
          <w:i w:val="0"/>
          <w:color w:val="FF0000"/>
        </w:rPr>
        <w:t xml:space="preserve"> saisir le Comité social territorial</w:t>
      </w:r>
    </w:p>
    <w:p w14:paraId="6157F1BE" w14:textId="77777777" w:rsidR="00383D36" w:rsidRPr="00CF16CF" w:rsidRDefault="00383D36" w:rsidP="00383D36">
      <w:pPr>
        <w:pStyle w:val="Style2"/>
        <w:numPr>
          <w:ilvl w:val="0"/>
          <w:numId w:val="0"/>
        </w:numPr>
        <w:pBdr>
          <w:top w:val="single" w:sz="4" w:space="1" w:color="auto"/>
          <w:left w:val="single" w:sz="4" w:space="4" w:color="auto"/>
          <w:bottom w:val="single" w:sz="4" w:space="1" w:color="auto"/>
          <w:right w:val="single" w:sz="4" w:space="4" w:color="auto"/>
        </w:pBdr>
        <w:ind w:left="360"/>
        <w:jc w:val="center"/>
        <w:rPr>
          <w:i w:val="0"/>
          <w:color w:val="FF0000"/>
        </w:rPr>
      </w:pPr>
      <w:r w:rsidRPr="00CF16CF">
        <w:rPr>
          <w:i w:val="0"/>
          <w:color w:val="FF0000"/>
        </w:rPr>
        <w:t>Après avis du Comité social territorial, l’organe délibérant se prononce.</w:t>
      </w:r>
    </w:p>
    <w:p w14:paraId="05E2022F" w14:textId="77777777" w:rsidR="00383D36" w:rsidRPr="00383D36" w:rsidRDefault="00383D36" w:rsidP="00383D36">
      <w:pPr>
        <w:widowControl w:val="0"/>
        <w:tabs>
          <w:tab w:val="center" w:pos="5670"/>
        </w:tabs>
        <w:jc w:val="both"/>
        <w:rPr>
          <w:rFonts w:ascii="Avenir Next LT Pro" w:hAnsi="Avenir Next LT Pro" w:cstheme="minorHAnsi"/>
          <w:snapToGrid w:val="0"/>
        </w:rPr>
      </w:pPr>
    </w:p>
    <w:p w14:paraId="4A7A77BA" w14:textId="77777777" w:rsidR="00383D36" w:rsidRPr="00383D36" w:rsidRDefault="00383D36" w:rsidP="00383D36">
      <w:pPr>
        <w:pStyle w:val="Style3"/>
        <w:jc w:val="center"/>
        <w:rPr>
          <w:b/>
        </w:rPr>
      </w:pPr>
      <w:r w:rsidRPr="00383D36">
        <w:rPr>
          <w:b/>
        </w:rPr>
        <w:t>Projet de délibération</w:t>
      </w:r>
    </w:p>
    <w:p w14:paraId="574FEC51" w14:textId="60BBB8C7" w:rsidR="00383D36" w:rsidRPr="00383D36" w:rsidRDefault="00383D36" w:rsidP="00383D36">
      <w:pPr>
        <w:pStyle w:val="Style3"/>
        <w:jc w:val="center"/>
        <w:rPr>
          <w:b/>
        </w:rPr>
      </w:pPr>
      <w:r w:rsidRPr="00383D36">
        <w:rPr>
          <w:b/>
        </w:rPr>
        <w:t>FIXANT LES MODALITÉS DE MISE EN ŒUVRE</w:t>
      </w:r>
    </w:p>
    <w:p w14:paraId="3029BFC9" w14:textId="77777777" w:rsidR="00383D36" w:rsidRPr="00383D36" w:rsidRDefault="00383D36" w:rsidP="00383D36">
      <w:pPr>
        <w:pStyle w:val="Style3"/>
        <w:jc w:val="center"/>
        <w:rPr>
          <w:b/>
        </w:rPr>
      </w:pPr>
      <w:r w:rsidRPr="00383D36">
        <w:rPr>
          <w:b/>
        </w:rPr>
        <w:t>DU COMPTE PERSONNEL DE FORMATION</w:t>
      </w:r>
    </w:p>
    <w:p w14:paraId="4CAF4C20" w14:textId="77777777" w:rsidR="00383D36" w:rsidRPr="00383D36" w:rsidRDefault="00383D36" w:rsidP="00383D36">
      <w:pPr>
        <w:pStyle w:val="Style3"/>
        <w:rPr>
          <w:color w:val="000000"/>
        </w:rPr>
      </w:pPr>
    </w:p>
    <w:p w14:paraId="7C0833C0" w14:textId="77777777" w:rsidR="00383D36" w:rsidRPr="00383D36" w:rsidRDefault="00383D36" w:rsidP="00383D36">
      <w:pPr>
        <w:pStyle w:val="Style3"/>
        <w:rPr>
          <w:color w:val="000000"/>
        </w:rPr>
      </w:pPr>
      <w:r w:rsidRPr="00383D36">
        <w:rPr>
          <w:color w:val="000000"/>
        </w:rPr>
        <w:t>Vu le Code Général de la Fonction Publique ;</w:t>
      </w:r>
    </w:p>
    <w:p w14:paraId="61B63B91" w14:textId="77777777" w:rsidR="00383D36" w:rsidRPr="00383D36" w:rsidRDefault="00383D36" w:rsidP="00383D36">
      <w:pPr>
        <w:pStyle w:val="Style3"/>
        <w:rPr>
          <w:color w:val="000000"/>
        </w:rPr>
      </w:pPr>
      <w:r w:rsidRPr="00383D36">
        <w:rPr>
          <w:color w:val="000000"/>
        </w:rPr>
        <w:t>Vu le Code du travail ;</w:t>
      </w:r>
    </w:p>
    <w:p w14:paraId="27181C65" w14:textId="77777777" w:rsidR="00383D36" w:rsidRPr="00383D36" w:rsidRDefault="00383D36" w:rsidP="00383D36">
      <w:pPr>
        <w:pStyle w:val="Style3"/>
        <w:rPr>
          <w:color w:val="000000"/>
        </w:rPr>
      </w:pPr>
      <w:r w:rsidRPr="00383D36">
        <w:rPr>
          <w:color w:val="000000"/>
        </w:rPr>
        <w:t>Vu l’Ordonnance n° 2017-53 du 19 janvier 2017 portant diverses dispositions relatives au compte personnel d'activité, à la formation et à la santé et la sécurité au travail dans la fonction publique ;</w:t>
      </w:r>
    </w:p>
    <w:p w14:paraId="630605B0" w14:textId="77777777" w:rsidR="00383D36" w:rsidRPr="00383D36" w:rsidRDefault="00383D36" w:rsidP="00383D36">
      <w:pPr>
        <w:pStyle w:val="Style3"/>
      </w:pPr>
      <w:r w:rsidRPr="00383D36">
        <w:t>Vu le décret n° 2007-1845 du 26 décembre 2007 relatif à la formation professionnelle tout au long de la vie des agents de la fonction publique territoriale ;</w:t>
      </w:r>
    </w:p>
    <w:p w14:paraId="79151736" w14:textId="77777777" w:rsidR="00383D36" w:rsidRPr="00383D36" w:rsidRDefault="00383D36" w:rsidP="00383D36">
      <w:pPr>
        <w:pStyle w:val="Style3"/>
        <w:rPr>
          <w:color w:val="000000"/>
        </w:rPr>
      </w:pPr>
      <w:r w:rsidRPr="00383D36">
        <w:rPr>
          <w:color w:val="000000"/>
        </w:rPr>
        <w:t>Vu le décret n° 2017-928 du 6 mai 2017 modifié relatif à la mise en œuvre du compte personnel d'activité dans la fonction publique et à la formation professionnelle tout au long de la vie</w:t>
      </w:r>
      <w:r w:rsidRPr="00383D36">
        <w:t xml:space="preserve"> </w:t>
      </w:r>
      <w:r w:rsidRPr="00383D36">
        <w:rPr>
          <w:color w:val="000000"/>
        </w:rPr>
        <w:t>notamment son article 9 ;</w:t>
      </w:r>
    </w:p>
    <w:p w14:paraId="3928707F" w14:textId="77777777" w:rsidR="00383D36" w:rsidRPr="00383D36" w:rsidRDefault="00383D36" w:rsidP="00383D36">
      <w:pPr>
        <w:pStyle w:val="Style3"/>
        <w:rPr>
          <w:i/>
        </w:rPr>
      </w:pPr>
      <w:r w:rsidRPr="00383D36">
        <w:rPr>
          <w:i/>
        </w:rPr>
        <w:t>Vu l’avis du Comité social territorial en date du………………..</w:t>
      </w:r>
    </w:p>
    <w:p w14:paraId="5F7097F8" w14:textId="77777777" w:rsidR="00383D36" w:rsidRPr="00383D36" w:rsidRDefault="00383D36" w:rsidP="00383D36">
      <w:pPr>
        <w:pStyle w:val="Style3"/>
        <w:rPr>
          <w:i/>
          <w:color w:val="2E74B5"/>
        </w:rPr>
      </w:pPr>
      <w:r w:rsidRPr="00383D36">
        <w:rPr>
          <w:i/>
          <w:color w:val="2E74B5"/>
        </w:rPr>
        <w:t>(</w:t>
      </w:r>
      <w:proofErr w:type="gramStart"/>
      <w:r w:rsidRPr="00383D36">
        <w:rPr>
          <w:i/>
          <w:color w:val="2E74B5"/>
        </w:rPr>
        <w:t>le</w:t>
      </w:r>
      <w:proofErr w:type="gramEnd"/>
      <w:r w:rsidRPr="00383D36">
        <w:rPr>
          <w:i/>
          <w:color w:val="2E74B5"/>
        </w:rPr>
        <w:t xml:space="preserve"> cas échéant) </w:t>
      </w:r>
      <w:r w:rsidRPr="00383D36">
        <w:rPr>
          <w:i/>
        </w:rPr>
        <w:t>Considérant le règlement de formation ou plan de formation adopté dans la collectivité par délibération du ………….</w:t>
      </w:r>
      <w:r w:rsidRPr="00383D36">
        <w:rPr>
          <w:i/>
          <w:color w:val="2E74B5"/>
        </w:rPr>
        <w:t xml:space="preserve"> </w:t>
      </w:r>
    </w:p>
    <w:p w14:paraId="7D82EB25" w14:textId="77777777" w:rsidR="00383D36" w:rsidRPr="00383D36" w:rsidRDefault="00383D36" w:rsidP="00383D36">
      <w:pPr>
        <w:pStyle w:val="Style3"/>
        <w:rPr>
          <w:color w:val="000000"/>
        </w:rPr>
      </w:pPr>
    </w:p>
    <w:p w14:paraId="2283D36B" w14:textId="77777777" w:rsidR="00383D36" w:rsidRPr="00383D36" w:rsidRDefault="00383D36" w:rsidP="00383D36">
      <w:pPr>
        <w:pStyle w:val="Style3"/>
        <w:jc w:val="center"/>
        <w:rPr>
          <w:color w:val="000000"/>
        </w:rPr>
      </w:pPr>
      <w:r w:rsidRPr="00383D36">
        <w:rPr>
          <w:color w:val="000000"/>
        </w:rPr>
        <w:t>****</w:t>
      </w:r>
    </w:p>
    <w:p w14:paraId="365275C8" w14:textId="77777777" w:rsidR="00383D36" w:rsidRPr="00383D36" w:rsidRDefault="00383D36" w:rsidP="00383D36">
      <w:pPr>
        <w:pStyle w:val="Style3"/>
      </w:pPr>
    </w:p>
    <w:p w14:paraId="147D3F31" w14:textId="77777777" w:rsidR="00383D36" w:rsidRPr="00383D36" w:rsidRDefault="00383D36" w:rsidP="00383D36">
      <w:pPr>
        <w:pStyle w:val="Style3"/>
      </w:pPr>
      <w:r w:rsidRPr="00383D36">
        <w:t xml:space="preserve">Le </w:t>
      </w:r>
      <w:r w:rsidRPr="00383D36">
        <w:rPr>
          <w:color w:val="0070C0"/>
        </w:rPr>
        <w:t>Maire/ le Président</w:t>
      </w:r>
      <w:r w:rsidRPr="00383D36">
        <w:t xml:space="preserve"> rappelle aux membres de l’assemblée délibérante qu’en vertu des articles L.422-4 et suivants du Code Général de la Fonction Publique, l’ensemble des agents publics bénéficient d’un compte personnel d'activité (CPA), à l’instar du dispositif existant pour les salariés de droit privé.</w:t>
      </w:r>
    </w:p>
    <w:p w14:paraId="23EE03DC" w14:textId="77777777" w:rsidR="00383D36" w:rsidRPr="00383D36" w:rsidRDefault="00383D36" w:rsidP="00383D36">
      <w:pPr>
        <w:pStyle w:val="Style3"/>
      </w:pPr>
    </w:p>
    <w:p w14:paraId="7D16C637" w14:textId="77777777" w:rsidR="00383D36" w:rsidRPr="00383D36" w:rsidRDefault="00383D36" w:rsidP="00383D36">
      <w:pPr>
        <w:pStyle w:val="Style3"/>
      </w:pPr>
      <w:r w:rsidRPr="00383D36">
        <w:t xml:space="preserve">Le CPA a pour objectifs, par l’utilisation des droits qui y sont inscrits, de renforcer l’autonomie et la liberté d’action de l’agent et de faciliter son évolution professionnelle. </w:t>
      </w:r>
    </w:p>
    <w:p w14:paraId="6DBF2E21" w14:textId="77777777" w:rsidR="00383D36" w:rsidRPr="00383D36" w:rsidRDefault="00383D36" w:rsidP="00383D36">
      <w:pPr>
        <w:pStyle w:val="Style3"/>
      </w:pPr>
    </w:p>
    <w:p w14:paraId="5A599575" w14:textId="77777777" w:rsidR="00383D36" w:rsidRPr="00383D36" w:rsidRDefault="00383D36" w:rsidP="00383D36">
      <w:pPr>
        <w:pStyle w:val="Style3"/>
      </w:pPr>
      <w:r w:rsidRPr="00383D36">
        <w:t xml:space="preserve">Le compte personnel d'activité se compose de deux comptes distincts : </w:t>
      </w:r>
    </w:p>
    <w:p w14:paraId="39C791E1" w14:textId="77777777" w:rsidR="00383D36" w:rsidRPr="00383D36" w:rsidRDefault="00383D36" w:rsidP="00383D36">
      <w:pPr>
        <w:pStyle w:val="Style3"/>
      </w:pPr>
    </w:p>
    <w:p w14:paraId="38343F8D" w14:textId="77777777" w:rsidR="00383D36" w:rsidRPr="00383D36" w:rsidRDefault="00383D36" w:rsidP="005E1A5D">
      <w:pPr>
        <w:pStyle w:val="Style3"/>
        <w:numPr>
          <w:ilvl w:val="0"/>
          <w:numId w:val="36"/>
        </w:numPr>
      </w:pPr>
      <w:r w:rsidRPr="00383D36">
        <w:t>le compte d’engagement citoyen (CEC) qui vise à favoriser les activités bénévoles ou volontaires et à faciliter la reconnaissance des compétences acquises à travers ces activités.</w:t>
      </w:r>
    </w:p>
    <w:p w14:paraId="4776E3C2" w14:textId="77777777" w:rsidR="00383D36" w:rsidRPr="00383D36" w:rsidRDefault="00383D36" w:rsidP="00383D36">
      <w:pPr>
        <w:pStyle w:val="Style3"/>
      </w:pPr>
    </w:p>
    <w:p w14:paraId="370C53A8" w14:textId="77777777" w:rsidR="00383D36" w:rsidRPr="00383D36" w:rsidRDefault="00383D36" w:rsidP="005E1A5D">
      <w:pPr>
        <w:pStyle w:val="Style3"/>
        <w:numPr>
          <w:ilvl w:val="0"/>
          <w:numId w:val="36"/>
        </w:numPr>
      </w:pPr>
      <w:r w:rsidRPr="00383D36">
        <w:t xml:space="preserve">le compte personnel de formation (CPF) qui permet aux agents de capitaliser des heures de formation qu’ils peuvent utiliser pour accéder à une qualification et de développer leurs compétences dans le cadre d'un projet d'évolution professionnelle. Le nombre d’heures est plafonné à 150 heures, porté à 400 heures pour les fonctionnaires qui appartiennent à un cadre d’emplois </w:t>
      </w:r>
      <w:r w:rsidRPr="00383D36">
        <w:rPr>
          <w:color w:val="191A1F"/>
          <w:shd w:val="clear" w:color="auto" w:fill="FFFFFF"/>
        </w:rPr>
        <w:t xml:space="preserve">de catégorie C n’ayant pas atteint un niveau de formation sanctionné par un diplôme ou titre professionnel enregistré et classé au niveau 3. </w:t>
      </w:r>
      <w:r w:rsidRPr="00383D36">
        <w:t>Le CPF se substitue au droit individuel à la formation (DIF) à compter du 1</w:t>
      </w:r>
      <w:r w:rsidRPr="00383D36">
        <w:rPr>
          <w:vertAlign w:val="superscript"/>
        </w:rPr>
        <w:t>er</w:t>
      </w:r>
      <w:r w:rsidRPr="00383D36">
        <w:t xml:space="preserve"> janvier 2017. Les droits du DIF sont transférés sur le CPF.</w:t>
      </w:r>
    </w:p>
    <w:p w14:paraId="6EF22720" w14:textId="77777777" w:rsidR="00383D36" w:rsidRPr="00383D36" w:rsidRDefault="00383D36" w:rsidP="00383D36">
      <w:pPr>
        <w:pStyle w:val="Style3"/>
      </w:pPr>
      <w:r w:rsidRPr="00383D36">
        <w:br/>
        <w:t>Le CPF peut notamment être utilisé :</w:t>
      </w:r>
    </w:p>
    <w:p w14:paraId="5AD3E152" w14:textId="77777777" w:rsidR="00383D36" w:rsidRPr="00383D36" w:rsidRDefault="00383D36" w:rsidP="00383D36">
      <w:pPr>
        <w:pStyle w:val="Style3"/>
      </w:pPr>
    </w:p>
    <w:p w14:paraId="0D77F9CF" w14:textId="77777777" w:rsidR="00383D36" w:rsidRPr="00383D36" w:rsidRDefault="00383D36" w:rsidP="005E1A5D">
      <w:pPr>
        <w:pStyle w:val="Style3"/>
        <w:numPr>
          <w:ilvl w:val="0"/>
          <w:numId w:val="37"/>
        </w:numPr>
      </w:pPr>
      <w:r w:rsidRPr="00383D36">
        <w:lastRenderedPageBreak/>
        <w:t>En combinaison avec le congé de formation professionnelle ;</w:t>
      </w:r>
    </w:p>
    <w:p w14:paraId="4EB726B5" w14:textId="77777777" w:rsidR="00383D36" w:rsidRPr="00383D36" w:rsidRDefault="00383D36" w:rsidP="005E1A5D">
      <w:pPr>
        <w:pStyle w:val="Style3"/>
        <w:numPr>
          <w:ilvl w:val="0"/>
          <w:numId w:val="37"/>
        </w:numPr>
      </w:pPr>
      <w:r w:rsidRPr="00383D36">
        <w:t>En complément des congés pour validation des acquis de l'expérience et pour bilan de compétences ;</w:t>
      </w:r>
    </w:p>
    <w:p w14:paraId="6354C38C" w14:textId="77777777" w:rsidR="00383D36" w:rsidRPr="00383D36" w:rsidRDefault="00383D36" w:rsidP="005E1A5D">
      <w:pPr>
        <w:pStyle w:val="Style3"/>
        <w:numPr>
          <w:ilvl w:val="0"/>
          <w:numId w:val="37"/>
        </w:numPr>
      </w:pPr>
      <w:r w:rsidRPr="00383D36">
        <w:t>Pour préparer des examens et concours administratifs, le cas échéant en combinaison avec le compte épargne-temps.</w:t>
      </w:r>
    </w:p>
    <w:p w14:paraId="45DEAAE0" w14:textId="77777777" w:rsidR="00383D36" w:rsidRPr="00383D36" w:rsidRDefault="00383D36" w:rsidP="00383D36">
      <w:pPr>
        <w:pStyle w:val="Style3"/>
      </w:pPr>
    </w:p>
    <w:p w14:paraId="0A4E2520" w14:textId="77777777" w:rsidR="00383D36" w:rsidRPr="00383D36" w:rsidRDefault="00383D36" w:rsidP="00383D36">
      <w:pPr>
        <w:pStyle w:val="Style3"/>
      </w:pPr>
      <w:r w:rsidRPr="00383D36">
        <w:t>Il appartient à l’organe délibérant, de fixer les modalités de mise en œuvre du CPF afin de garantir une équité de traitement dans l’instruction des demandes et notamment déterminer les plafonds de prise en charge des frais de formation au sein de la collectivité.</w:t>
      </w:r>
    </w:p>
    <w:p w14:paraId="72F2F69E" w14:textId="77777777" w:rsidR="00383D36" w:rsidRPr="00383D36" w:rsidRDefault="00383D36" w:rsidP="00383D36">
      <w:pPr>
        <w:pStyle w:val="Style3"/>
      </w:pPr>
    </w:p>
    <w:p w14:paraId="6DEBFBDD" w14:textId="77777777" w:rsidR="00383D36" w:rsidRPr="00383D36" w:rsidRDefault="00383D36" w:rsidP="00383D36">
      <w:pPr>
        <w:pStyle w:val="Style3"/>
      </w:pPr>
      <w:r w:rsidRPr="00383D36">
        <w:t xml:space="preserve">Le </w:t>
      </w:r>
      <w:r w:rsidRPr="00383D36">
        <w:rPr>
          <w:color w:val="0070C0"/>
        </w:rPr>
        <w:t>Maire/ le Président</w:t>
      </w:r>
      <w:r w:rsidRPr="00383D36">
        <w:t xml:space="preserve"> propose à l’assemblée d’adopter les modalités de mise œuvre du CPF suivantes.</w:t>
      </w:r>
    </w:p>
    <w:p w14:paraId="112A3FDB" w14:textId="77777777" w:rsidR="00383D36" w:rsidRPr="00383D36" w:rsidRDefault="00383D36" w:rsidP="00383D36">
      <w:pPr>
        <w:pStyle w:val="Style3"/>
      </w:pPr>
    </w:p>
    <w:p w14:paraId="1CE05DB2" w14:textId="77777777" w:rsidR="00383D36" w:rsidRPr="00383D36" w:rsidRDefault="00383D36" w:rsidP="00383D36">
      <w:pPr>
        <w:pStyle w:val="Style3"/>
        <w:rPr>
          <w:b/>
        </w:rPr>
      </w:pPr>
      <w:r w:rsidRPr="00383D36">
        <w:rPr>
          <w:b/>
        </w:rPr>
        <w:t>PRISE EN CHARGE DES FRAIS DE FORMATION</w:t>
      </w:r>
    </w:p>
    <w:p w14:paraId="667744C9" w14:textId="77777777" w:rsidR="00383D36" w:rsidRPr="00383D36" w:rsidRDefault="00383D36" w:rsidP="00383D36">
      <w:pPr>
        <w:pStyle w:val="Style3"/>
      </w:pPr>
    </w:p>
    <w:p w14:paraId="0896CC08" w14:textId="77777777" w:rsidR="00383D36" w:rsidRPr="00383D36" w:rsidRDefault="00383D36" w:rsidP="00383D36">
      <w:pPr>
        <w:pStyle w:val="Style3"/>
      </w:pPr>
      <w:r w:rsidRPr="00383D36">
        <w:t>Les frais de formation sont à la charge de chaque employeur. Il prend en charge les frais pédagogiques se rattachant à la formation, en dehors de la prise en charge par le CNFPT des formations qui lui sont confiées par les textes en vigueur. L’employeur peut également prendre en charge les frais occasionnés par leurs déplacements.</w:t>
      </w:r>
    </w:p>
    <w:p w14:paraId="1C1E0FCC" w14:textId="77777777" w:rsidR="00383D36" w:rsidRPr="00383D36" w:rsidRDefault="00383D36" w:rsidP="00383D36">
      <w:pPr>
        <w:pStyle w:val="Style3"/>
      </w:pPr>
    </w:p>
    <w:p w14:paraId="4850C420" w14:textId="77777777" w:rsidR="00383D36" w:rsidRPr="00383D36" w:rsidRDefault="00383D36" w:rsidP="005E1A5D">
      <w:pPr>
        <w:pStyle w:val="Style3"/>
        <w:numPr>
          <w:ilvl w:val="0"/>
          <w:numId w:val="38"/>
        </w:numPr>
        <w:rPr>
          <w:b/>
        </w:rPr>
      </w:pPr>
      <w:r w:rsidRPr="00383D36">
        <w:rPr>
          <w:b/>
        </w:rPr>
        <w:t>Les frais pédagogiques</w:t>
      </w:r>
    </w:p>
    <w:p w14:paraId="5D80D03F" w14:textId="77777777" w:rsidR="00383D36" w:rsidRPr="00383D36" w:rsidRDefault="00383D36" w:rsidP="00383D36">
      <w:pPr>
        <w:pStyle w:val="Style3"/>
      </w:pPr>
    </w:p>
    <w:p w14:paraId="31C1EBD0" w14:textId="77777777" w:rsidR="00383D36" w:rsidRPr="00383D36" w:rsidRDefault="00383D36" w:rsidP="00383D36">
      <w:pPr>
        <w:pStyle w:val="Style3"/>
        <w:rPr>
          <w:color w:val="000000"/>
        </w:rPr>
      </w:pPr>
      <w:r w:rsidRPr="00383D36">
        <w:rPr>
          <w:color w:val="000000"/>
        </w:rPr>
        <w:t xml:space="preserve">La prise en charge des frais pédagogiques se rattachant à la formation suivie au titre du compte personnel de formation est plafonnée de la façon suivante : </w:t>
      </w:r>
    </w:p>
    <w:p w14:paraId="778045C1" w14:textId="77777777" w:rsidR="00383D36" w:rsidRPr="00383D36" w:rsidRDefault="00383D36" w:rsidP="005E1A5D">
      <w:pPr>
        <w:pStyle w:val="Style3"/>
        <w:numPr>
          <w:ilvl w:val="0"/>
          <w:numId w:val="39"/>
        </w:numPr>
        <w:rPr>
          <w:color w:val="000000"/>
        </w:rPr>
      </w:pPr>
      <w:r w:rsidRPr="00383D36">
        <w:rPr>
          <w:color w:val="000000"/>
        </w:rPr>
        <w:t>Plafond du coût horaire pédagogique : … euros toutes taxes comprises ;</w:t>
      </w:r>
    </w:p>
    <w:p w14:paraId="0F00E9FD" w14:textId="77777777" w:rsidR="00383D36" w:rsidRPr="00383D36" w:rsidRDefault="00383D36" w:rsidP="005E1A5D">
      <w:pPr>
        <w:pStyle w:val="Style3"/>
        <w:ind w:left="720"/>
        <w:rPr>
          <w:i/>
          <w:color w:val="0070C0"/>
        </w:rPr>
      </w:pPr>
      <w:r w:rsidRPr="00383D36">
        <w:rPr>
          <w:i/>
          <w:color w:val="0070C0"/>
        </w:rPr>
        <w:t xml:space="preserve">Le cas échéant : </w:t>
      </w:r>
    </w:p>
    <w:p w14:paraId="311D3F8A" w14:textId="77777777" w:rsidR="00383D36" w:rsidRPr="00383D36" w:rsidRDefault="00383D36" w:rsidP="005E1A5D">
      <w:pPr>
        <w:pStyle w:val="Style3"/>
        <w:numPr>
          <w:ilvl w:val="0"/>
          <w:numId w:val="39"/>
        </w:numPr>
        <w:rPr>
          <w:i/>
        </w:rPr>
      </w:pPr>
      <w:r w:rsidRPr="00383D36">
        <w:rPr>
          <w:i/>
        </w:rPr>
        <w:t xml:space="preserve">Et un Plafond par action de formation au titre du même projet d’évolution professionnelle : … euros </w:t>
      </w:r>
      <w:r w:rsidRPr="00383D36">
        <w:rPr>
          <w:i/>
          <w:color w:val="000000"/>
        </w:rPr>
        <w:t>toutes taxes comprises au titre d’une année civile pour un même agent.</w:t>
      </w:r>
    </w:p>
    <w:p w14:paraId="4A1B668D" w14:textId="77777777" w:rsidR="00383D36" w:rsidRPr="00383D36" w:rsidRDefault="00383D36" w:rsidP="00383D36">
      <w:pPr>
        <w:pStyle w:val="Style3"/>
      </w:pPr>
    </w:p>
    <w:p w14:paraId="183A0BC3" w14:textId="77777777" w:rsidR="00383D36" w:rsidRPr="00383D36" w:rsidRDefault="00383D36" w:rsidP="005E1A5D">
      <w:pPr>
        <w:pStyle w:val="Style3"/>
        <w:numPr>
          <w:ilvl w:val="0"/>
          <w:numId w:val="38"/>
        </w:numPr>
        <w:rPr>
          <w:b/>
        </w:rPr>
      </w:pPr>
      <w:r w:rsidRPr="00383D36">
        <w:rPr>
          <w:b/>
        </w:rPr>
        <w:t xml:space="preserve">Les </w:t>
      </w:r>
      <w:r w:rsidRPr="00383D36">
        <w:rPr>
          <w:b/>
          <w:iCs/>
          <w:color w:val="000000"/>
        </w:rPr>
        <w:t>frais annexes occasionnés par les déplacements</w:t>
      </w:r>
    </w:p>
    <w:p w14:paraId="05E1F7D5" w14:textId="77777777" w:rsidR="00383D36" w:rsidRPr="00383D36" w:rsidRDefault="00383D36" w:rsidP="00383D36">
      <w:pPr>
        <w:pStyle w:val="Style3"/>
      </w:pPr>
    </w:p>
    <w:p w14:paraId="48ED5E80" w14:textId="77777777" w:rsidR="00383D36" w:rsidRPr="00383D36" w:rsidRDefault="00383D36" w:rsidP="00383D36">
      <w:pPr>
        <w:pStyle w:val="Style3"/>
        <w:rPr>
          <w:iCs/>
          <w:color w:val="000000"/>
        </w:rPr>
      </w:pPr>
      <w:r w:rsidRPr="00383D36">
        <w:rPr>
          <w:iCs/>
          <w:color w:val="000000"/>
        </w:rPr>
        <w:t>Les frais annexes occasionnés par les déplacements des agents lors des formations suivies au titre du compte personnel de formation …</w:t>
      </w:r>
    </w:p>
    <w:p w14:paraId="554F3036" w14:textId="77777777" w:rsidR="00383D36" w:rsidRPr="00383D36" w:rsidRDefault="00383D36" w:rsidP="00383D36">
      <w:pPr>
        <w:pStyle w:val="Style3"/>
        <w:rPr>
          <w:i/>
          <w:iCs/>
          <w:color w:val="0070C0"/>
        </w:rPr>
      </w:pPr>
      <w:r w:rsidRPr="00383D36">
        <w:rPr>
          <w:i/>
          <w:iCs/>
          <w:color w:val="0070C0"/>
        </w:rPr>
        <w:t>Au choix de la collectivité :</w:t>
      </w:r>
    </w:p>
    <w:p w14:paraId="59F96E0B" w14:textId="77777777" w:rsidR="00383D36" w:rsidRPr="00383D36" w:rsidRDefault="00383D36" w:rsidP="005E1A5D">
      <w:pPr>
        <w:pStyle w:val="Style3"/>
        <w:numPr>
          <w:ilvl w:val="0"/>
          <w:numId w:val="40"/>
        </w:numPr>
        <w:rPr>
          <w:i/>
          <w:iCs/>
        </w:rPr>
      </w:pPr>
      <w:r w:rsidRPr="00383D36">
        <w:rPr>
          <w:i/>
          <w:iCs/>
        </w:rPr>
        <w:t>sont intégralement pris en charge conformément à la règlementation en vigueur,</w:t>
      </w:r>
    </w:p>
    <w:p w14:paraId="50FF8173" w14:textId="77777777" w:rsidR="00383D36" w:rsidRPr="00383D36" w:rsidRDefault="00383D36" w:rsidP="005E1A5D">
      <w:pPr>
        <w:pStyle w:val="Style3"/>
        <w:numPr>
          <w:ilvl w:val="0"/>
          <w:numId w:val="40"/>
        </w:numPr>
        <w:rPr>
          <w:i/>
          <w:iCs/>
        </w:rPr>
      </w:pPr>
      <w:r w:rsidRPr="00383D36">
        <w:rPr>
          <w:i/>
          <w:iCs/>
        </w:rPr>
        <w:t>ou  sont pris en charge dans la limite de … euros (ou à hauteur de … %) par action de formation,</w:t>
      </w:r>
    </w:p>
    <w:p w14:paraId="7515F05E" w14:textId="77777777" w:rsidR="00383D36" w:rsidRPr="00383D36" w:rsidRDefault="00383D36" w:rsidP="005E1A5D">
      <w:pPr>
        <w:pStyle w:val="Style3"/>
        <w:numPr>
          <w:ilvl w:val="0"/>
          <w:numId w:val="40"/>
        </w:numPr>
        <w:rPr>
          <w:i/>
          <w:iCs/>
        </w:rPr>
      </w:pPr>
      <w:r w:rsidRPr="00383D36">
        <w:rPr>
          <w:i/>
          <w:iCs/>
        </w:rPr>
        <w:t>ou ne sont pas pris en charge par la collectivité.</w:t>
      </w:r>
    </w:p>
    <w:p w14:paraId="65B32CF3" w14:textId="77777777" w:rsidR="00383D36" w:rsidRPr="00383D36" w:rsidRDefault="00383D36" w:rsidP="00383D36">
      <w:pPr>
        <w:pStyle w:val="Style3"/>
        <w:rPr>
          <w:iCs/>
        </w:rPr>
      </w:pPr>
    </w:p>
    <w:p w14:paraId="25D04836" w14:textId="77777777" w:rsidR="00383D36" w:rsidRPr="00383D36" w:rsidRDefault="00383D36" w:rsidP="00383D36">
      <w:pPr>
        <w:pStyle w:val="Style3"/>
        <w:rPr>
          <w:i/>
          <w:iCs/>
          <w:color w:val="0070C0"/>
        </w:rPr>
      </w:pPr>
      <w:r w:rsidRPr="00383D36">
        <w:rPr>
          <w:i/>
          <w:iCs/>
          <w:color w:val="0070C0"/>
        </w:rPr>
        <w:t xml:space="preserve">Le cas échéant en cas de prise en charge des frais annexes : </w:t>
      </w:r>
    </w:p>
    <w:p w14:paraId="426F029A" w14:textId="77777777" w:rsidR="00383D36" w:rsidRPr="00383D36" w:rsidRDefault="00383D36" w:rsidP="005E1A5D">
      <w:pPr>
        <w:pStyle w:val="Style3"/>
        <w:numPr>
          <w:ilvl w:val="0"/>
          <w:numId w:val="41"/>
        </w:numPr>
        <w:rPr>
          <w:i/>
          <w:iCs/>
        </w:rPr>
      </w:pPr>
      <w:r w:rsidRPr="00383D36">
        <w:rPr>
          <w:i/>
          <w:iCs/>
        </w:rPr>
        <w:t>Les frais annexes occasionnés comprennent :</w:t>
      </w:r>
    </w:p>
    <w:p w14:paraId="37C3B69F" w14:textId="77777777" w:rsidR="00383D36" w:rsidRPr="00383D36" w:rsidRDefault="00383D36" w:rsidP="005E1A5D">
      <w:pPr>
        <w:pStyle w:val="Style3"/>
        <w:numPr>
          <w:ilvl w:val="0"/>
          <w:numId w:val="41"/>
        </w:numPr>
        <w:rPr>
          <w:i/>
          <w:iCs/>
        </w:rPr>
      </w:pPr>
      <w:r w:rsidRPr="00383D36">
        <w:rPr>
          <w:i/>
          <w:iCs/>
        </w:rPr>
        <w:t>Les frais de transport (l'agent devra utiliser son véhicule personnel),</w:t>
      </w:r>
    </w:p>
    <w:p w14:paraId="6A41C215" w14:textId="77777777" w:rsidR="00383D36" w:rsidRPr="00383D36" w:rsidRDefault="00383D36" w:rsidP="005E1A5D">
      <w:pPr>
        <w:pStyle w:val="Style3"/>
        <w:numPr>
          <w:ilvl w:val="0"/>
          <w:numId w:val="41"/>
        </w:numPr>
        <w:rPr>
          <w:i/>
          <w:iCs/>
        </w:rPr>
      </w:pPr>
      <w:r w:rsidRPr="00383D36">
        <w:rPr>
          <w:i/>
        </w:rPr>
        <w:t>Les frais d'utilisation de parcs de stationnement et de péage d'autoroute</w:t>
      </w:r>
      <w:r w:rsidRPr="00383D36">
        <w:rPr>
          <w:i/>
          <w:iCs/>
        </w:rPr>
        <w:t>,</w:t>
      </w:r>
    </w:p>
    <w:p w14:paraId="77BF950A" w14:textId="77777777" w:rsidR="00383D36" w:rsidRPr="00383D36" w:rsidRDefault="00383D36" w:rsidP="005E1A5D">
      <w:pPr>
        <w:pStyle w:val="Style3"/>
        <w:numPr>
          <w:ilvl w:val="0"/>
          <w:numId w:val="41"/>
        </w:numPr>
        <w:rPr>
          <w:i/>
          <w:iCs/>
        </w:rPr>
      </w:pPr>
      <w:r w:rsidRPr="00383D36">
        <w:rPr>
          <w:i/>
          <w:iCs/>
        </w:rPr>
        <w:t>Les frais de repas concernant uniquement le repas du midi,</w:t>
      </w:r>
    </w:p>
    <w:p w14:paraId="0BC592AD" w14:textId="77777777" w:rsidR="00383D36" w:rsidRPr="00383D36" w:rsidRDefault="00383D36" w:rsidP="005E1A5D">
      <w:pPr>
        <w:pStyle w:val="Style3"/>
        <w:numPr>
          <w:ilvl w:val="0"/>
          <w:numId w:val="41"/>
        </w:numPr>
        <w:rPr>
          <w:i/>
          <w:iCs/>
        </w:rPr>
      </w:pPr>
      <w:r w:rsidRPr="00383D36">
        <w:rPr>
          <w:i/>
          <w:iCs/>
        </w:rPr>
        <w:t>Les frais d’hébergement.</w:t>
      </w:r>
    </w:p>
    <w:p w14:paraId="3598BC02" w14:textId="77777777" w:rsidR="00383D36" w:rsidRPr="00383D36" w:rsidRDefault="00383D36" w:rsidP="00383D36">
      <w:pPr>
        <w:pStyle w:val="Style3"/>
        <w:rPr>
          <w:i/>
          <w:iCs/>
        </w:rPr>
      </w:pPr>
      <w:r w:rsidRPr="00383D36">
        <w:rPr>
          <w:i/>
          <w:iCs/>
        </w:rPr>
        <w:t>Le remboursement ne pourra s'effectuer que sur production de justificatifs.</w:t>
      </w:r>
    </w:p>
    <w:p w14:paraId="3F71654E" w14:textId="77777777" w:rsidR="00383D36" w:rsidRPr="00383D36" w:rsidRDefault="00383D36" w:rsidP="00383D36">
      <w:pPr>
        <w:pStyle w:val="Style3"/>
      </w:pPr>
    </w:p>
    <w:p w14:paraId="7C482D3C" w14:textId="77777777" w:rsidR="00383D36" w:rsidRPr="00383D36" w:rsidRDefault="00383D36" w:rsidP="00956519">
      <w:pPr>
        <w:pStyle w:val="Style3"/>
        <w:numPr>
          <w:ilvl w:val="0"/>
          <w:numId w:val="38"/>
        </w:numPr>
      </w:pPr>
      <w:r w:rsidRPr="005E1A5D">
        <w:rPr>
          <w:b/>
        </w:rPr>
        <w:t>Le</w:t>
      </w:r>
      <w:r w:rsidRPr="00383D36">
        <w:t xml:space="preserve"> </w:t>
      </w:r>
      <w:r w:rsidRPr="00956519">
        <w:rPr>
          <w:b/>
        </w:rPr>
        <w:t>plafond global</w:t>
      </w:r>
      <w:r w:rsidRPr="00383D36">
        <w:t xml:space="preserve"> </w:t>
      </w:r>
      <w:r w:rsidRPr="00383D36">
        <w:rPr>
          <w:i/>
          <w:color w:val="0070C0"/>
        </w:rPr>
        <w:t>(le cas échéant)</w:t>
      </w:r>
    </w:p>
    <w:p w14:paraId="77FC5712" w14:textId="77777777" w:rsidR="00383D36" w:rsidRPr="00383D36" w:rsidRDefault="00383D36" w:rsidP="00383D36">
      <w:pPr>
        <w:pStyle w:val="Style3"/>
      </w:pPr>
    </w:p>
    <w:p w14:paraId="26A54C8B" w14:textId="77777777" w:rsidR="00383D36" w:rsidRPr="00383D36" w:rsidRDefault="00383D36" w:rsidP="00383D36">
      <w:pPr>
        <w:pStyle w:val="Style3"/>
        <w:rPr>
          <w:i/>
        </w:rPr>
      </w:pPr>
      <w:r w:rsidRPr="00383D36">
        <w:rPr>
          <w:i/>
        </w:rPr>
        <w:t>Une enveloppe globale annuelle d’un montant maximum de ……………. euros sera consacrée aux différentes demandes de financement de formation au titre du compte personnel de formation.</w:t>
      </w:r>
    </w:p>
    <w:p w14:paraId="2E7645D7" w14:textId="77777777" w:rsidR="00383D36" w:rsidRPr="00383D36" w:rsidRDefault="00383D36" w:rsidP="00383D36">
      <w:pPr>
        <w:pStyle w:val="Style3"/>
      </w:pPr>
    </w:p>
    <w:p w14:paraId="0A621EAD" w14:textId="77777777" w:rsidR="00383D36" w:rsidRPr="005E1A5D" w:rsidRDefault="00383D36" w:rsidP="00956519">
      <w:pPr>
        <w:pStyle w:val="Style3"/>
        <w:numPr>
          <w:ilvl w:val="0"/>
          <w:numId w:val="38"/>
        </w:numPr>
        <w:rPr>
          <w:b/>
        </w:rPr>
      </w:pPr>
      <w:r w:rsidRPr="005E1A5D">
        <w:rPr>
          <w:b/>
        </w:rPr>
        <w:t>Remboursement</w:t>
      </w:r>
    </w:p>
    <w:p w14:paraId="713F96F4" w14:textId="77777777" w:rsidR="00383D36" w:rsidRPr="00383D36" w:rsidRDefault="00383D36" w:rsidP="00383D36">
      <w:pPr>
        <w:pStyle w:val="Style3"/>
      </w:pPr>
    </w:p>
    <w:p w14:paraId="2F8F131D" w14:textId="77777777" w:rsidR="00383D36" w:rsidRPr="00383D36" w:rsidRDefault="00383D36" w:rsidP="00383D36">
      <w:pPr>
        <w:pStyle w:val="Style3"/>
        <w:rPr>
          <w:iCs/>
          <w:color w:val="000000"/>
        </w:rPr>
      </w:pPr>
      <w:r w:rsidRPr="00383D36">
        <w:t>L’agent devra rembourser les</w:t>
      </w:r>
      <w:r w:rsidRPr="00383D36">
        <w:rPr>
          <w:iCs/>
          <w:color w:val="000000"/>
        </w:rPr>
        <w:t xml:space="preserve"> frais engagés par la collectivité :</w:t>
      </w:r>
    </w:p>
    <w:p w14:paraId="1EDD1EC5" w14:textId="77777777" w:rsidR="00383D36" w:rsidRPr="00383D36" w:rsidRDefault="00383D36" w:rsidP="00383D36">
      <w:pPr>
        <w:pStyle w:val="Style3"/>
        <w:rPr>
          <w:iCs/>
          <w:color w:val="000000"/>
        </w:rPr>
      </w:pPr>
    </w:p>
    <w:p w14:paraId="23F2403D" w14:textId="77777777" w:rsidR="00383D36" w:rsidRPr="00383D36" w:rsidRDefault="00383D36" w:rsidP="00956519">
      <w:pPr>
        <w:pStyle w:val="Style3"/>
        <w:numPr>
          <w:ilvl w:val="0"/>
          <w:numId w:val="42"/>
        </w:numPr>
        <w:rPr>
          <w:iCs/>
          <w:color w:val="000000"/>
        </w:rPr>
      </w:pPr>
      <w:r w:rsidRPr="00383D36">
        <w:rPr>
          <w:iCs/>
          <w:color w:val="000000"/>
        </w:rPr>
        <w:t>Lorsqu’il n’a pas suivi tout ou partie de sa formation, sans motif valable,</w:t>
      </w:r>
    </w:p>
    <w:p w14:paraId="1F972161" w14:textId="77777777" w:rsidR="00383D36" w:rsidRPr="00383D36" w:rsidRDefault="00383D36" w:rsidP="00956519">
      <w:pPr>
        <w:pStyle w:val="Style3"/>
        <w:numPr>
          <w:ilvl w:val="0"/>
          <w:numId w:val="42"/>
        </w:numPr>
        <w:rPr>
          <w:rStyle w:val="lev"/>
          <w:rFonts w:cstheme="minorHAnsi"/>
          <w:b w:val="0"/>
          <w:bCs w:val="0"/>
          <w:iCs/>
          <w:color w:val="000000"/>
        </w:rPr>
      </w:pPr>
      <w:r w:rsidRPr="00383D36">
        <w:rPr>
          <w:rStyle w:val="lev"/>
          <w:rFonts w:cstheme="minorHAnsi"/>
          <w:b w:val="0"/>
          <w:iCs/>
          <w:color w:val="191A1F"/>
          <w:shd w:val="clear" w:color="auto" w:fill="FFFFFF"/>
        </w:rPr>
        <w:lastRenderedPageBreak/>
        <w:t>Lorsqu’il utilise des droits obtenus à la suite d'une déclaration frauduleuse ou erronée.</w:t>
      </w:r>
    </w:p>
    <w:p w14:paraId="03E84914" w14:textId="77777777" w:rsidR="00383D36" w:rsidRPr="00383D36" w:rsidRDefault="00383D36" w:rsidP="00383D36">
      <w:pPr>
        <w:pStyle w:val="Style3"/>
        <w:rPr>
          <w:rStyle w:val="lev"/>
          <w:rFonts w:cstheme="minorHAnsi"/>
          <w:b w:val="0"/>
          <w:iCs/>
          <w:color w:val="191A1F"/>
          <w:shd w:val="clear" w:color="auto" w:fill="FFFFFF"/>
        </w:rPr>
      </w:pPr>
    </w:p>
    <w:p w14:paraId="014838A5" w14:textId="77777777" w:rsidR="00383D36" w:rsidRPr="00383D36" w:rsidRDefault="00383D36" w:rsidP="00383D36">
      <w:pPr>
        <w:pStyle w:val="Style3"/>
        <w:rPr>
          <w:iCs/>
          <w:color w:val="000000"/>
        </w:rPr>
      </w:pPr>
      <w:r w:rsidRPr="00383D36">
        <w:rPr>
          <w:rStyle w:val="lev"/>
          <w:rFonts w:cstheme="minorHAnsi"/>
          <w:b w:val="0"/>
          <w:iCs/>
          <w:color w:val="191A1F"/>
          <w:shd w:val="clear" w:color="auto" w:fill="FFFFFF"/>
        </w:rPr>
        <w:t>Il rembourse les sommes correspondantes à son employeur selon la procédure contradictoire suivante : …………… (</w:t>
      </w:r>
      <w:proofErr w:type="gramStart"/>
      <w:r w:rsidRPr="00383D36">
        <w:rPr>
          <w:rStyle w:val="lev"/>
          <w:rFonts w:cstheme="minorHAnsi"/>
          <w:b w:val="0"/>
          <w:i/>
          <w:iCs/>
          <w:color w:val="0070C0"/>
          <w:shd w:val="clear" w:color="auto" w:fill="FFFFFF"/>
        </w:rPr>
        <w:t>la</w:t>
      </w:r>
      <w:proofErr w:type="gramEnd"/>
      <w:r w:rsidRPr="00383D36">
        <w:rPr>
          <w:rStyle w:val="lev"/>
          <w:rFonts w:cstheme="minorHAnsi"/>
          <w:b w:val="0"/>
          <w:i/>
          <w:iCs/>
          <w:color w:val="0070C0"/>
          <w:shd w:val="clear" w:color="auto" w:fill="FFFFFF"/>
        </w:rPr>
        <w:t xml:space="preserve"> procédure contradictoire doit être obligatoirement prévue lorsque l’agent utilise ses droits obtenus à la suite d’une déclaration frauduleuse ou erronée. Par exemple : délai d’un mois à compter de la réception d’un courrier de mise en demeure d’apporter les informations et justificatifs nécessaires</w:t>
      </w:r>
      <w:r w:rsidRPr="00383D36">
        <w:rPr>
          <w:rStyle w:val="lev"/>
          <w:rFonts w:cstheme="minorHAnsi"/>
          <w:b w:val="0"/>
          <w:iCs/>
          <w:color w:val="191A1F"/>
          <w:shd w:val="clear" w:color="auto" w:fill="FFFFFF"/>
        </w:rPr>
        <w:t>).</w:t>
      </w:r>
    </w:p>
    <w:p w14:paraId="4AB1C425" w14:textId="77777777" w:rsidR="00383D36" w:rsidRPr="00383D36" w:rsidRDefault="00383D36" w:rsidP="00383D36">
      <w:pPr>
        <w:pStyle w:val="Style3"/>
      </w:pPr>
    </w:p>
    <w:p w14:paraId="20BE8DBF" w14:textId="77777777" w:rsidR="00383D36" w:rsidRPr="00956519" w:rsidRDefault="00383D36" w:rsidP="00383D36">
      <w:pPr>
        <w:pStyle w:val="Style3"/>
        <w:rPr>
          <w:b/>
        </w:rPr>
      </w:pPr>
      <w:r w:rsidRPr="00956519">
        <w:rPr>
          <w:b/>
        </w:rPr>
        <w:t>MOBILISATION DU COMPTE PERSONNEL DE FORMATION</w:t>
      </w:r>
    </w:p>
    <w:p w14:paraId="49509035" w14:textId="77777777" w:rsidR="00383D36" w:rsidRPr="00383D36" w:rsidRDefault="00383D36" w:rsidP="00383D36">
      <w:pPr>
        <w:pStyle w:val="Style3"/>
      </w:pPr>
    </w:p>
    <w:p w14:paraId="32B92775" w14:textId="77777777" w:rsidR="00383D36" w:rsidRPr="00383D36" w:rsidRDefault="00383D36" w:rsidP="00383D36">
      <w:pPr>
        <w:pStyle w:val="Style3"/>
      </w:pPr>
      <w:r w:rsidRPr="00383D36">
        <w:t xml:space="preserve">L’agent qui entend mobiliser, les heures qu'il a acquises sur le CPF en vue de suivre des actions de formation doit </w:t>
      </w:r>
      <w:proofErr w:type="gramStart"/>
      <w:r w:rsidRPr="00383D36">
        <w:t>solliciter</w:t>
      </w:r>
      <w:proofErr w:type="gramEnd"/>
      <w:r w:rsidRPr="00383D36">
        <w:t xml:space="preserve"> l'accord écrit de son employeur. </w:t>
      </w:r>
    </w:p>
    <w:p w14:paraId="042B840E" w14:textId="77777777" w:rsidR="00383D36" w:rsidRPr="00383D36" w:rsidRDefault="00383D36" w:rsidP="00383D36">
      <w:pPr>
        <w:pStyle w:val="Style3"/>
        <w:rPr>
          <w:i/>
          <w:color w:val="548DD4"/>
        </w:rPr>
      </w:pPr>
    </w:p>
    <w:p w14:paraId="1475CAAE" w14:textId="77777777" w:rsidR="00383D36" w:rsidRPr="00383D36" w:rsidRDefault="00383D36" w:rsidP="00383D36">
      <w:pPr>
        <w:pStyle w:val="Style3"/>
      </w:pPr>
      <w:r w:rsidRPr="00383D36">
        <w:rPr>
          <w:i/>
          <w:color w:val="548DD4"/>
        </w:rPr>
        <w:t>(Le cas échéant)</w:t>
      </w:r>
      <w:r w:rsidRPr="00383D36">
        <w:rPr>
          <w:i/>
          <w:color w:val="FF0000"/>
        </w:rPr>
        <w:t xml:space="preserve"> </w:t>
      </w:r>
      <w:r w:rsidRPr="00383D36">
        <w:rPr>
          <w:kern w:val="32"/>
        </w:rPr>
        <w:t xml:space="preserve">La demande se fera par remise du formulaire annexé à la présente délibération </w:t>
      </w:r>
      <w:r w:rsidRPr="00383D36">
        <w:rPr>
          <w:rStyle w:val="lev"/>
          <w:rFonts w:cstheme="minorHAnsi"/>
          <w:b w:val="0"/>
          <w:iCs/>
          <w:color w:val="191A1F"/>
          <w:shd w:val="clear" w:color="auto" w:fill="FFFFFF"/>
        </w:rPr>
        <w:t>(</w:t>
      </w:r>
      <w:r w:rsidRPr="00383D36">
        <w:rPr>
          <w:rStyle w:val="lev"/>
          <w:rFonts w:cstheme="minorHAnsi"/>
          <w:b w:val="0"/>
          <w:i/>
          <w:iCs/>
          <w:color w:val="0070C0"/>
          <w:shd w:val="clear" w:color="auto" w:fill="FFFFFF"/>
        </w:rPr>
        <w:t>le formulaire doit contenir les éléments listés ci-dessous</w:t>
      </w:r>
      <w:r w:rsidRPr="00383D36">
        <w:rPr>
          <w:rStyle w:val="lev"/>
          <w:rFonts w:cstheme="minorHAnsi"/>
          <w:b w:val="0"/>
          <w:iCs/>
          <w:color w:val="191A1F"/>
          <w:shd w:val="clear" w:color="auto" w:fill="FFFFFF"/>
        </w:rPr>
        <w:t>)</w:t>
      </w:r>
      <w:r w:rsidRPr="00383D36">
        <w:rPr>
          <w:kern w:val="32"/>
        </w:rPr>
        <w:t xml:space="preserve">, au </w:t>
      </w:r>
      <w:r w:rsidRPr="00383D36">
        <w:rPr>
          <w:color w:val="548DD4"/>
        </w:rPr>
        <w:t>………………..</w:t>
      </w:r>
      <w:r w:rsidRPr="00383D36">
        <w:rPr>
          <w:i/>
          <w:color w:val="548DD4"/>
        </w:rPr>
        <w:t xml:space="preserve"> (Maire ou Président).</w:t>
      </w:r>
    </w:p>
    <w:p w14:paraId="05ED3487" w14:textId="77777777" w:rsidR="00383D36" w:rsidRPr="00383D36" w:rsidRDefault="00383D36" w:rsidP="00383D36">
      <w:pPr>
        <w:pStyle w:val="Style3"/>
        <w:rPr>
          <w:i/>
          <w:color w:val="2E74B5"/>
          <w:u w:val="single"/>
        </w:rPr>
      </w:pPr>
      <w:r w:rsidRPr="00383D36">
        <w:rPr>
          <w:i/>
          <w:color w:val="2E74B5"/>
          <w:u w:val="single"/>
        </w:rPr>
        <w:t>OU</w:t>
      </w:r>
    </w:p>
    <w:p w14:paraId="7804E52C" w14:textId="77777777" w:rsidR="00383D36" w:rsidRPr="00383D36" w:rsidRDefault="00383D36" w:rsidP="00383D36">
      <w:pPr>
        <w:pStyle w:val="Style3"/>
      </w:pPr>
      <w:r w:rsidRPr="00383D36">
        <w:rPr>
          <w:i/>
          <w:color w:val="2E74B5"/>
        </w:rPr>
        <w:t>(</w:t>
      </w:r>
      <w:proofErr w:type="gramStart"/>
      <w:r w:rsidRPr="00383D36">
        <w:rPr>
          <w:i/>
          <w:color w:val="2E74B5"/>
        </w:rPr>
        <w:t>le</w:t>
      </w:r>
      <w:proofErr w:type="gramEnd"/>
      <w:r w:rsidRPr="00383D36">
        <w:rPr>
          <w:i/>
          <w:color w:val="2E74B5"/>
        </w:rPr>
        <w:t xml:space="preserve"> cas échéant)</w:t>
      </w:r>
      <w:r w:rsidRPr="00383D36">
        <w:t xml:space="preserve"> La demande doit contenir les éléments suivants :</w:t>
      </w:r>
    </w:p>
    <w:p w14:paraId="6ED8C9C9" w14:textId="77777777" w:rsidR="00383D36" w:rsidRPr="00383D36" w:rsidRDefault="00383D36" w:rsidP="00383D36">
      <w:pPr>
        <w:pStyle w:val="Style3"/>
      </w:pPr>
    </w:p>
    <w:p w14:paraId="0DC20727" w14:textId="77777777" w:rsidR="00383D36" w:rsidRPr="00383D36" w:rsidRDefault="00383D36" w:rsidP="00956519">
      <w:pPr>
        <w:pStyle w:val="Style3"/>
        <w:numPr>
          <w:ilvl w:val="0"/>
          <w:numId w:val="43"/>
        </w:numPr>
      </w:pPr>
      <w:r w:rsidRPr="00383D36">
        <w:t xml:space="preserve">La nature de son projet (motivation et objectif poursuivi, fonctions visées, compétences, diplôme ou qualifications à acquérir, recours ou non à un accompagnement type conseil en évolution professionnelle, etc.) ; </w:t>
      </w:r>
    </w:p>
    <w:p w14:paraId="679922A1" w14:textId="77777777" w:rsidR="00383D36" w:rsidRPr="00383D36" w:rsidRDefault="00383D36" w:rsidP="00956519">
      <w:pPr>
        <w:pStyle w:val="Style3"/>
        <w:numPr>
          <w:ilvl w:val="0"/>
          <w:numId w:val="43"/>
        </w:numPr>
      </w:pPr>
      <w:r w:rsidRPr="00383D36">
        <w:t xml:space="preserve">Le programme et la nature de la formation visée (préciser si la formation est diplômante, </w:t>
      </w:r>
      <w:proofErr w:type="spellStart"/>
      <w:r w:rsidRPr="00383D36">
        <w:t>certifiante</w:t>
      </w:r>
      <w:proofErr w:type="spellEnd"/>
      <w:r w:rsidRPr="00383D36">
        <w:t xml:space="preserve">, ou </w:t>
      </w:r>
      <w:proofErr w:type="spellStart"/>
      <w:r w:rsidRPr="00383D36">
        <w:t>professionnalisante</w:t>
      </w:r>
      <w:proofErr w:type="spellEnd"/>
      <w:r w:rsidRPr="00383D36">
        <w:t xml:space="preserve">, les prérequis de la formation, etc.) ; </w:t>
      </w:r>
    </w:p>
    <w:p w14:paraId="78D274EB" w14:textId="77777777" w:rsidR="00383D36" w:rsidRPr="00383D36" w:rsidRDefault="00383D36" w:rsidP="00956519">
      <w:pPr>
        <w:pStyle w:val="Style3"/>
        <w:numPr>
          <w:ilvl w:val="0"/>
          <w:numId w:val="43"/>
        </w:numPr>
      </w:pPr>
      <w:r w:rsidRPr="00383D36">
        <w:t xml:space="preserve">Le cas échéant l’organisme de formation sollicité si la formation ne figure pas dans l’offre de formation de l’employeur ; </w:t>
      </w:r>
    </w:p>
    <w:p w14:paraId="3CDC53EE" w14:textId="77777777" w:rsidR="00383D36" w:rsidRPr="00383D36" w:rsidRDefault="00383D36" w:rsidP="00956519">
      <w:pPr>
        <w:pStyle w:val="Style3"/>
        <w:numPr>
          <w:ilvl w:val="0"/>
          <w:numId w:val="43"/>
        </w:numPr>
      </w:pPr>
      <w:r w:rsidRPr="00383D36">
        <w:t>Le nombre d’heures requises, le calendrier et le coût de la formation ;</w:t>
      </w:r>
    </w:p>
    <w:p w14:paraId="6B8CB557" w14:textId="77777777" w:rsidR="00383D36" w:rsidRPr="00383D36" w:rsidRDefault="00383D36" w:rsidP="00956519">
      <w:pPr>
        <w:pStyle w:val="Style3"/>
        <w:numPr>
          <w:ilvl w:val="0"/>
          <w:numId w:val="43"/>
        </w:numPr>
      </w:pPr>
      <w:r w:rsidRPr="00383D36">
        <w:t>Si l’agent souhaite articuler le CPF avec un autre dispositif (</w:t>
      </w:r>
      <w:r w:rsidRPr="00383D36">
        <w:rPr>
          <w:color w:val="000000"/>
          <w:shd w:val="clear" w:color="auto" w:fill="FFFFFF"/>
        </w:rPr>
        <w:t>congé de formation professionnelle, congés pour validation des acquis de l'expérience et pour bilan de compétences ou compte épargne-temps) ;</w:t>
      </w:r>
    </w:p>
    <w:p w14:paraId="1015A951" w14:textId="77777777" w:rsidR="00383D36" w:rsidRPr="00383D36" w:rsidRDefault="00383D36" w:rsidP="00956519">
      <w:pPr>
        <w:pStyle w:val="Style3"/>
        <w:numPr>
          <w:ilvl w:val="0"/>
          <w:numId w:val="43"/>
        </w:numPr>
      </w:pPr>
      <w:r w:rsidRPr="00383D36">
        <w:rPr>
          <w:color w:val="000000"/>
          <w:shd w:val="clear" w:color="auto" w:fill="FFFFFF"/>
        </w:rPr>
        <w:t>Si l’agent entend consommer par anticipation des droits non encore acquis ;</w:t>
      </w:r>
    </w:p>
    <w:p w14:paraId="2A0D52AE" w14:textId="77777777" w:rsidR="00383D36" w:rsidRPr="00383D36" w:rsidRDefault="00383D36" w:rsidP="00956519">
      <w:pPr>
        <w:pStyle w:val="Style3"/>
        <w:numPr>
          <w:ilvl w:val="0"/>
          <w:numId w:val="43"/>
        </w:numPr>
      </w:pPr>
      <w:r w:rsidRPr="00383D36">
        <w:t>Le cas échéant, si l’agent demande l’attribution d’un crédit d’heures supplémentaires (limité à 150 heures), l’avis du médecin du travail attestant que l’état de santé de l’agent l'expose, compte tenu de ses conditions de travail, à un risque d'inaptitude physique à l'exercice de ses fonctions.</w:t>
      </w:r>
    </w:p>
    <w:p w14:paraId="1D401CC1" w14:textId="77777777" w:rsidR="00383D36" w:rsidRPr="00383D36" w:rsidRDefault="00383D36" w:rsidP="00383D36">
      <w:pPr>
        <w:pStyle w:val="Style3"/>
      </w:pPr>
    </w:p>
    <w:p w14:paraId="3F9BE776" w14:textId="77777777" w:rsidR="00383D36" w:rsidRPr="00956519" w:rsidRDefault="00383D36" w:rsidP="00383D36">
      <w:pPr>
        <w:pStyle w:val="Style3"/>
        <w:rPr>
          <w:b/>
        </w:rPr>
      </w:pPr>
      <w:r w:rsidRPr="00956519">
        <w:rPr>
          <w:b/>
        </w:rPr>
        <w:t>INSTRUCTION DES DEMANDES</w:t>
      </w:r>
    </w:p>
    <w:p w14:paraId="5B0B816B" w14:textId="77777777" w:rsidR="00383D36" w:rsidRPr="00383D36" w:rsidRDefault="00383D36" w:rsidP="00383D36">
      <w:pPr>
        <w:pStyle w:val="Style3"/>
      </w:pPr>
    </w:p>
    <w:p w14:paraId="6370C0C2" w14:textId="77777777" w:rsidR="00383D36" w:rsidRPr="00956519" w:rsidRDefault="00383D36" w:rsidP="00956519">
      <w:pPr>
        <w:pStyle w:val="Style3"/>
        <w:numPr>
          <w:ilvl w:val="0"/>
          <w:numId w:val="44"/>
        </w:numPr>
        <w:rPr>
          <w:b/>
        </w:rPr>
      </w:pPr>
      <w:r w:rsidRPr="00956519">
        <w:rPr>
          <w:b/>
        </w:rPr>
        <w:t>Traitement des demandes</w:t>
      </w:r>
    </w:p>
    <w:p w14:paraId="779FB8FA" w14:textId="77777777" w:rsidR="00383D36" w:rsidRPr="00383D36" w:rsidRDefault="00383D36" w:rsidP="00383D36">
      <w:pPr>
        <w:pStyle w:val="Style3"/>
      </w:pPr>
    </w:p>
    <w:p w14:paraId="45883B3E" w14:textId="77777777" w:rsidR="00383D36" w:rsidRPr="00383D36" w:rsidRDefault="00383D36" w:rsidP="00383D36">
      <w:pPr>
        <w:pStyle w:val="Style3"/>
        <w:rPr>
          <w:color w:val="0070C0"/>
        </w:rPr>
      </w:pPr>
      <w:r w:rsidRPr="00383D36">
        <w:rPr>
          <w:iCs/>
          <w:color w:val="000000"/>
        </w:rPr>
        <w:t xml:space="preserve">Les demandes seront instruites par </w:t>
      </w:r>
      <w:r w:rsidRPr="00383D36">
        <w:rPr>
          <w:color w:val="0070C0"/>
        </w:rPr>
        <w:t xml:space="preserve">l’autorité territoriale / le supérieur hiérarchique de l’agent </w:t>
      </w:r>
      <w:r w:rsidRPr="00383D36">
        <w:rPr>
          <w:i/>
          <w:iCs/>
          <w:color w:val="0070C0"/>
        </w:rPr>
        <w:t>(ou autres à préciser)</w:t>
      </w:r>
      <w:r w:rsidRPr="00383D36">
        <w:rPr>
          <w:iCs/>
          <w:color w:val="0070C0"/>
        </w:rPr>
        <w:t xml:space="preserve"> …</w:t>
      </w:r>
    </w:p>
    <w:p w14:paraId="16558D12" w14:textId="77777777" w:rsidR="00383D36" w:rsidRPr="00383D36" w:rsidRDefault="00383D36" w:rsidP="00383D36">
      <w:pPr>
        <w:pStyle w:val="Style3"/>
        <w:rPr>
          <w:i/>
          <w:iCs/>
          <w:color w:val="0070C0"/>
        </w:rPr>
      </w:pPr>
      <w:r w:rsidRPr="00383D36">
        <w:rPr>
          <w:i/>
          <w:iCs/>
          <w:color w:val="0070C0"/>
        </w:rPr>
        <w:t>Au choix de la collectivité :</w:t>
      </w:r>
    </w:p>
    <w:p w14:paraId="6B11B351" w14:textId="4931FA6D" w:rsidR="00383D36" w:rsidRPr="00383D36" w:rsidRDefault="00383D36" w:rsidP="00956519">
      <w:pPr>
        <w:pStyle w:val="Style3"/>
        <w:numPr>
          <w:ilvl w:val="0"/>
          <w:numId w:val="43"/>
        </w:numPr>
        <w:rPr>
          <w:i/>
          <w:iCs/>
          <w:color w:val="000000"/>
        </w:rPr>
      </w:pPr>
      <w:r w:rsidRPr="00383D36">
        <w:rPr>
          <w:i/>
          <w:iCs/>
          <w:color w:val="000000"/>
        </w:rPr>
        <w:t>au fur et à mesure des dépôts tout au long de l’année</w:t>
      </w:r>
    </w:p>
    <w:p w14:paraId="21192B14" w14:textId="77777777" w:rsidR="00383D36" w:rsidRPr="00383D36" w:rsidRDefault="00383D36" w:rsidP="00383D36">
      <w:pPr>
        <w:pStyle w:val="Style3"/>
        <w:rPr>
          <w:i/>
          <w:iCs/>
          <w:color w:val="0070C0"/>
        </w:rPr>
      </w:pPr>
      <w:r w:rsidRPr="00383D36">
        <w:rPr>
          <w:i/>
          <w:iCs/>
          <w:color w:val="0070C0"/>
        </w:rPr>
        <w:t xml:space="preserve">Ou </w:t>
      </w:r>
    </w:p>
    <w:p w14:paraId="5D967375" w14:textId="003B90F3" w:rsidR="00383D36" w:rsidRPr="00383D36" w:rsidRDefault="00383D36" w:rsidP="00956519">
      <w:pPr>
        <w:pStyle w:val="Style3"/>
        <w:numPr>
          <w:ilvl w:val="0"/>
          <w:numId w:val="43"/>
        </w:numPr>
        <w:rPr>
          <w:i/>
          <w:iCs/>
          <w:color w:val="000000"/>
        </w:rPr>
      </w:pPr>
      <w:r w:rsidRPr="00383D36">
        <w:rPr>
          <w:i/>
          <w:iCs/>
          <w:color w:val="000000"/>
        </w:rPr>
        <w:t>par campagne intervenant du ... au ... (et du … au …) de chaque année</w:t>
      </w:r>
    </w:p>
    <w:p w14:paraId="55BC23DA" w14:textId="77777777" w:rsidR="00383D36" w:rsidRPr="00383D36" w:rsidRDefault="00383D36" w:rsidP="00383D36">
      <w:pPr>
        <w:pStyle w:val="Style3"/>
        <w:rPr>
          <w:i/>
          <w:iCs/>
          <w:color w:val="0070C0"/>
        </w:rPr>
      </w:pPr>
      <w:r w:rsidRPr="00383D36">
        <w:rPr>
          <w:i/>
          <w:iCs/>
          <w:color w:val="0070C0"/>
        </w:rPr>
        <w:t xml:space="preserve">Ou </w:t>
      </w:r>
    </w:p>
    <w:p w14:paraId="2DB83FA2" w14:textId="60CD975E" w:rsidR="00383D36" w:rsidRPr="00383D36" w:rsidRDefault="00383D36" w:rsidP="00956519">
      <w:pPr>
        <w:pStyle w:val="Style3"/>
        <w:numPr>
          <w:ilvl w:val="0"/>
          <w:numId w:val="43"/>
        </w:numPr>
        <w:rPr>
          <w:i/>
          <w:iCs/>
          <w:color w:val="000000"/>
        </w:rPr>
      </w:pPr>
      <w:r w:rsidRPr="00383D36">
        <w:rPr>
          <w:i/>
          <w:iCs/>
          <w:color w:val="000000"/>
        </w:rPr>
        <w:t>en combinant un</w:t>
      </w:r>
      <w:r w:rsidRPr="00383D36">
        <w:t xml:space="preserve"> </w:t>
      </w:r>
      <w:r w:rsidRPr="00383D36">
        <w:rPr>
          <w:i/>
          <w:iCs/>
          <w:color w:val="000000"/>
        </w:rPr>
        <w:t>traitement au fur et à mesure des dépôts tout au long de l’année et un traitement par campagne (</w:t>
      </w:r>
      <w:r w:rsidRPr="00383D36">
        <w:rPr>
          <w:i/>
          <w:iCs/>
          <w:color w:val="0070C0"/>
        </w:rPr>
        <w:t>préciser les modalités</w:t>
      </w:r>
      <w:r w:rsidRPr="00383D36">
        <w:rPr>
          <w:i/>
          <w:iCs/>
          <w:color w:val="000000"/>
        </w:rPr>
        <w:t>).</w:t>
      </w:r>
    </w:p>
    <w:p w14:paraId="64B92FB1" w14:textId="77777777" w:rsidR="00383D36" w:rsidRPr="00383D36" w:rsidRDefault="00383D36" w:rsidP="00383D36">
      <w:pPr>
        <w:pStyle w:val="Style3"/>
        <w:rPr>
          <w:iCs/>
          <w:color w:val="000000"/>
        </w:rPr>
      </w:pPr>
    </w:p>
    <w:p w14:paraId="2F677983" w14:textId="77777777" w:rsidR="00383D36" w:rsidRPr="00956519" w:rsidRDefault="00383D36" w:rsidP="00956519">
      <w:pPr>
        <w:pStyle w:val="Style3"/>
        <w:numPr>
          <w:ilvl w:val="0"/>
          <w:numId w:val="45"/>
        </w:numPr>
        <w:rPr>
          <w:b/>
          <w:iCs/>
          <w:color w:val="000000"/>
        </w:rPr>
      </w:pPr>
      <w:r w:rsidRPr="00956519">
        <w:rPr>
          <w:b/>
          <w:iCs/>
          <w:color w:val="000000"/>
        </w:rPr>
        <w:t>Formations éligibles</w:t>
      </w:r>
    </w:p>
    <w:p w14:paraId="2FAD52C2" w14:textId="77777777" w:rsidR="00383D36" w:rsidRPr="00383D36" w:rsidRDefault="00383D36" w:rsidP="00383D36">
      <w:pPr>
        <w:pStyle w:val="Style3"/>
      </w:pPr>
    </w:p>
    <w:p w14:paraId="274CB0D9" w14:textId="77777777" w:rsidR="00383D36" w:rsidRPr="00383D36" w:rsidRDefault="00383D36" w:rsidP="00383D36">
      <w:pPr>
        <w:pStyle w:val="Style3"/>
      </w:pPr>
      <w:r w:rsidRPr="00383D36">
        <w:t xml:space="preserve">L'utilisation du compte personnel de formation porte sur toute action de formation sauf celles relatives à l’adaptation aux fonctions exercées. </w:t>
      </w:r>
    </w:p>
    <w:p w14:paraId="44293C8A" w14:textId="77777777" w:rsidR="00383D36" w:rsidRPr="00383D36" w:rsidRDefault="00383D36" w:rsidP="00383D36">
      <w:pPr>
        <w:pStyle w:val="Style3"/>
      </w:pPr>
    </w:p>
    <w:p w14:paraId="7D044D73" w14:textId="77777777" w:rsidR="00383D36" w:rsidRPr="00383D36" w:rsidRDefault="00383D36" w:rsidP="00383D36">
      <w:pPr>
        <w:pStyle w:val="Style3"/>
        <w:rPr>
          <w:iCs/>
          <w:color w:val="000000"/>
        </w:rPr>
      </w:pPr>
      <w:r w:rsidRPr="00383D36">
        <w:t xml:space="preserve">Ainsi, le CPF concerne toutes les formations ayant pour objet l'acquisition d'un diplôme, d'un titre, d'un certificat de qualification professionnelle ou le développement des compétences nécessaires à la mise en œuvre du projet d'évolution professionnelle. L’obtention d’un diplôme </w:t>
      </w:r>
      <w:r w:rsidRPr="00383D36">
        <w:lastRenderedPageBreak/>
        <w:t>qui ne s’inscrirait dans aucune perspective professionnelle ne peut être considérée comme éligible au compte personnel de formation.</w:t>
      </w:r>
    </w:p>
    <w:p w14:paraId="291C3462" w14:textId="77777777" w:rsidR="00383D36" w:rsidRPr="00383D36" w:rsidRDefault="00383D36" w:rsidP="00383D36">
      <w:pPr>
        <w:pStyle w:val="Style3"/>
        <w:rPr>
          <w:iCs/>
          <w:color w:val="000000"/>
        </w:rPr>
      </w:pPr>
    </w:p>
    <w:p w14:paraId="3A1253F7" w14:textId="77777777" w:rsidR="00383D36" w:rsidRPr="00956519" w:rsidRDefault="00383D36" w:rsidP="00956519">
      <w:pPr>
        <w:pStyle w:val="Style3"/>
        <w:numPr>
          <w:ilvl w:val="0"/>
          <w:numId w:val="45"/>
        </w:numPr>
        <w:rPr>
          <w:b/>
          <w:iCs/>
          <w:color w:val="000000"/>
        </w:rPr>
      </w:pPr>
      <w:r w:rsidRPr="00956519">
        <w:rPr>
          <w:b/>
          <w:iCs/>
          <w:color w:val="000000"/>
        </w:rPr>
        <w:t>Critères d’instruction</w:t>
      </w:r>
    </w:p>
    <w:p w14:paraId="6C2C05B1" w14:textId="77777777" w:rsidR="00383D36" w:rsidRPr="00383D36" w:rsidRDefault="00383D36" w:rsidP="00383D36">
      <w:pPr>
        <w:pStyle w:val="Style3"/>
        <w:rPr>
          <w:iCs/>
          <w:color w:val="000000"/>
        </w:rPr>
      </w:pPr>
    </w:p>
    <w:p w14:paraId="6FE344C5" w14:textId="77777777" w:rsidR="00383D36" w:rsidRPr="00383D36" w:rsidRDefault="00383D36" w:rsidP="00383D36">
      <w:pPr>
        <w:pStyle w:val="Style3"/>
        <w:rPr>
          <w:shd w:val="clear" w:color="auto" w:fill="FFFFFF"/>
        </w:rPr>
      </w:pPr>
      <w:r w:rsidRPr="00383D36">
        <w:rPr>
          <w:shd w:val="clear" w:color="auto" w:fill="FFFFFF"/>
        </w:rPr>
        <w:t>Lorsque plusieurs actions de formation permettent de satisfaire la demande de l'agent, une priorité est accordée aux actions de formation assurées par l'employeur de l'agent qui demande l'utilisation de son compte personnel de formation.</w:t>
      </w:r>
    </w:p>
    <w:p w14:paraId="7CD221F0" w14:textId="77777777" w:rsidR="00383D36" w:rsidRPr="00383D36" w:rsidRDefault="00383D36" w:rsidP="00383D36">
      <w:pPr>
        <w:pStyle w:val="Style3"/>
        <w:rPr>
          <w:iCs/>
          <w:color w:val="000000"/>
        </w:rPr>
      </w:pPr>
    </w:p>
    <w:p w14:paraId="246CF571" w14:textId="77777777" w:rsidR="00383D36" w:rsidRPr="00383D36" w:rsidRDefault="00383D36" w:rsidP="00383D36">
      <w:pPr>
        <w:pStyle w:val="Style3"/>
        <w:rPr>
          <w:iCs/>
          <w:color w:val="000000"/>
        </w:rPr>
      </w:pPr>
      <w:r w:rsidRPr="00383D36">
        <w:rPr>
          <w:iCs/>
          <w:color w:val="000000"/>
        </w:rPr>
        <w:t xml:space="preserve">En outre, lors de l’instruction des demandes, les requêtes suivantes sont prioritaires : </w:t>
      </w:r>
    </w:p>
    <w:p w14:paraId="0310B045" w14:textId="77777777" w:rsidR="00383D36" w:rsidRPr="00383D36" w:rsidRDefault="00383D36" w:rsidP="00383D36">
      <w:pPr>
        <w:pStyle w:val="Style3"/>
        <w:rPr>
          <w:iCs/>
          <w:color w:val="000000"/>
        </w:rPr>
      </w:pPr>
    </w:p>
    <w:p w14:paraId="3246EDBB" w14:textId="77777777" w:rsidR="00383D36" w:rsidRPr="00383D36" w:rsidRDefault="00383D36" w:rsidP="00956519">
      <w:pPr>
        <w:pStyle w:val="Style3"/>
        <w:numPr>
          <w:ilvl w:val="0"/>
          <w:numId w:val="46"/>
        </w:numPr>
        <w:rPr>
          <w:iCs/>
          <w:color w:val="000000"/>
        </w:rPr>
      </w:pPr>
      <w:r w:rsidRPr="00383D36">
        <w:rPr>
          <w:iCs/>
          <w:color w:val="000000"/>
        </w:rPr>
        <w:t>Suivre une action de formation, un accompagnement ou bénéficier d'un bilan de compétences, permettant de prévenir une situation d'inaptitude à l'exercice des fonctions ; les droits des personnes concernées peuvent être abondés d’un crédit d’heures supplémentaires dans la limite de 150 heures ;</w:t>
      </w:r>
    </w:p>
    <w:p w14:paraId="661AEE48" w14:textId="77777777" w:rsidR="00383D36" w:rsidRPr="00383D36" w:rsidRDefault="00383D36" w:rsidP="00956519">
      <w:pPr>
        <w:pStyle w:val="Style3"/>
        <w:numPr>
          <w:ilvl w:val="0"/>
          <w:numId w:val="46"/>
        </w:numPr>
        <w:rPr>
          <w:iCs/>
          <w:color w:val="000000"/>
        </w:rPr>
      </w:pPr>
      <w:r w:rsidRPr="00383D36">
        <w:rPr>
          <w:iCs/>
          <w:color w:val="000000"/>
        </w:rPr>
        <w:t>Suivre une action de formation ou un accompagnement à la validation des acquis de l'expérience par un diplôme, un titre ou une certification inscrite au répertoire national des certifications professionnelles ;</w:t>
      </w:r>
    </w:p>
    <w:p w14:paraId="32343EB6" w14:textId="77777777" w:rsidR="00383D36" w:rsidRPr="00383D36" w:rsidRDefault="00383D36" w:rsidP="00956519">
      <w:pPr>
        <w:pStyle w:val="Style3"/>
        <w:numPr>
          <w:ilvl w:val="0"/>
          <w:numId w:val="46"/>
        </w:numPr>
        <w:rPr>
          <w:iCs/>
          <w:color w:val="000000"/>
        </w:rPr>
      </w:pPr>
      <w:r w:rsidRPr="00383D36">
        <w:rPr>
          <w:iCs/>
          <w:color w:val="000000"/>
        </w:rPr>
        <w:t>Suivre une action de formation de préparation aux concours et examens.</w:t>
      </w:r>
    </w:p>
    <w:p w14:paraId="19569DF1" w14:textId="77777777" w:rsidR="00383D36" w:rsidRPr="00383D36" w:rsidRDefault="00383D36" w:rsidP="00383D36">
      <w:pPr>
        <w:pStyle w:val="Style3"/>
        <w:rPr>
          <w:iCs/>
          <w:color w:val="000000"/>
        </w:rPr>
      </w:pPr>
    </w:p>
    <w:p w14:paraId="2AF5E784" w14:textId="77777777" w:rsidR="00383D36" w:rsidRPr="00383D36" w:rsidRDefault="00383D36" w:rsidP="00383D36">
      <w:pPr>
        <w:pStyle w:val="Style3"/>
        <w:rPr>
          <w:iCs/>
          <w:color w:val="000000"/>
        </w:rPr>
      </w:pPr>
      <w:r w:rsidRPr="00383D36">
        <w:rPr>
          <w:iCs/>
          <w:color w:val="000000"/>
        </w:rPr>
        <w:t xml:space="preserve">Les demandes présentées par des personnes peu ou pas qualifiées qui ont pour objectif de suivre une formation relevant du socle de connaissances et de compétences mentionné à l'article L.6121-2 du Code du travail (qui concerne notamment la communication en français, les règles de calcul et de raisonnement mathématique, etc.) ne peuvent faire l’objet d’un refus. </w:t>
      </w:r>
    </w:p>
    <w:p w14:paraId="36BF78F0" w14:textId="77777777" w:rsidR="00383D36" w:rsidRPr="00383D36" w:rsidRDefault="00383D36" w:rsidP="00383D36">
      <w:pPr>
        <w:pStyle w:val="Style3"/>
        <w:rPr>
          <w:iCs/>
          <w:color w:val="000000"/>
        </w:rPr>
      </w:pPr>
      <w:r w:rsidRPr="00383D36">
        <w:rPr>
          <w:iCs/>
          <w:color w:val="000000"/>
        </w:rPr>
        <w:t>La satisfaction de ces demandes peut uniquement être reportée d’une année en raison de nécessité de service.</w:t>
      </w:r>
    </w:p>
    <w:p w14:paraId="6A8F5BB0" w14:textId="77777777" w:rsidR="00383D36" w:rsidRPr="00383D36" w:rsidRDefault="00383D36" w:rsidP="00383D36">
      <w:pPr>
        <w:pStyle w:val="Style3"/>
        <w:rPr>
          <w:iCs/>
          <w:color w:val="000000"/>
        </w:rPr>
      </w:pPr>
    </w:p>
    <w:p w14:paraId="18BD5A3D" w14:textId="77777777" w:rsidR="00383D36" w:rsidRPr="00383D36" w:rsidRDefault="00383D36" w:rsidP="00383D36">
      <w:pPr>
        <w:pStyle w:val="Style3"/>
        <w:rPr>
          <w:i/>
          <w:iCs/>
          <w:color w:val="0070C0"/>
        </w:rPr>
      </w:pPr>
      <w:r w:rsidRPr="00383D36">
        <w:rPr>
          <w:i/>
          <w:iCs/>
          <w:color w:val="0070C0"/>
        </w:rPr>
        <w:t xml:space="preserve">Le cas échéant : ajouter des critères d’instruction et de classement afin d’assurer un traitement équitable et de départager les demandes : </w:t>
      </w:r>
    </w:p>
    <w:p w14:paraId="333B8DD5" w14:textId="77777777" w:rsidR="00383D36" w:rsidRPr="00383D36" w:rsidRDefault="00383D36" w:rsidP="00383D36">
      <w:pPr>
        <w:pStyle w:val="Style3"/>
        <w:rPr>
          <w:iCs/>
          <w:color w:val="000000"/>
        </w:rPr>
      </w:pPr>
      <w:r w:rsidRPr="00383D36">
        <w:rPr>
          <w:iCs/>
          <w:color w:val="000000"/>
        </w:rPr>
        <w:t>Chaque demande sera, ensuite, appréciée et priorisée en considération des critères suivants :</w:t>
      </w:r>
    </w:p>
    <w:p w14:paraId="0EBCFCA6" w14:textId="77777777" w:rsidR="00383D36" w:rsidRPr="00383D36" w:rsidRDefault="00383D36" w:rsidP="00956519">
      <w:pPr>
        <w:pStyle w:val="Style3"/>
        <w:numPr>
          <w:ilvl w:val="0"/>
          <w:numId w:val="47"/>
        </w:numPr>
        <w:rPr>
          <w:i/>
          <w:iCs/>
          <w:color w:val="000000"/>
        </w:rPr>
      </w:pPr>
      <w:r w:rsidRPr="00383D36">
        <w:rPr>
          <w:i/>
          <w:iCs/>
          <w:color w:val="000000"/>
        </w:rPr>
        <w:t>situation de l’agent (niveau de diplôme...)</w:t>
      </w:r>
    </w:p>
    <w:p w14:paraId="03351EBC" w14:textId="77777777" w:rsidR="00383D36" w:rsidRPr="00383D36" w:rsidRDefault="00383D36" w:rsidP="00956519">
      <w:pPr>
        <w:pStyle w:val="Style3"/>
        <w:numPr>
          <w:ilvl w:val="0"/>
          <w:numId w:val="47"/>
        </w:numPr>
        <w:rPr>
          <w:i/>
          <w:iCs/>
          <w:color w:val="000000"/>
        </w:rPr>
      </w:pPr>
      <w:r w:rsidRPr="00383D36">
        <w:rPr>
          <w:i/>
          <w:iCs/>
          <w:color w:val="000000"/>
        </w:rPr>
        <w:t>nombre de formations déjà suivies par l’agent</w:t>
      </w:r>
    </w:p>
    <w:p w14:paraId="27E8CF24" w14:textId="77777777" w:rsidR="00383D36" w:rsidRPr="00383D36" w:rsidRDefault="00383D36" w:rsidP="00956519">
      <w:pPr>
        <w:pStyle w:val="Style3"/>
        <w:numPr>
          <w:ilvl w:val="0"/>
          <w:numId w:val="47"/>
        </w:numPr>
        <w:rPr>
          <w:i/>
          <w:iCs/>
          <w:color w:val="000000"/>
        </w:rPr>
      </w:pPr>
      <w:r w:rsidRPr="00383D36">
        <w:rPr>
          <w:i/>
          <w:iCs/>
          <w:color w:val="000000"/>
        </w:rPr>
        <w:t>ancienneté au poste</w:t>
      </w:r>
    </w:p>
    <w:p w14:paraId="295F5E71" w14:textId="77777777" w:rsidR="00383D36" w:rsidRPr="00383D36" w:rsidRDefault="00383D36" w:rsidP="00956519">
      <w:pPr>
        <w:pStyle w:val="Style3"/>
        <w:numPr>
          <w:ilvl w:val="0"/>
          <w:numId w:val="47"/>
        </w:numPr>
        <w:rPr>
          <w:i/>
          <w:iCs/>
          <w:color w:val="000000"/>
        </w:rPr>
      </w:pPr>
      <w:r w:rsidRPr="00383D36">
        <w:rPr>
          <w:i/>
          <w:iCs/>
          <w:color w:val="000000"/>
        </w:rPr>
        <w:t>nécessités de service</w:t>
      </w:r>
    </w:p>
    <w:p w14:paraId="4AB6CEAC" w14:textId="77777777" w:rsidR="00383D36" w:rsidRPr="00383D36" w:rsidRDefault="00383D36" w:rsidP="00956519">
      <w:pPr>
        <w:pStyle w:val="Style3"/>
        <w:numPr>
          <w:ilvl w:val="0"/>
          <w:numId w:val="47"/>
        </w:numPr>
        <w:rPr>
          <w:i/>
          <w:iCs/>
          <w:color w:val="000000"/>
        </w:rPr>
      </w:pPr>
      <w:r w:rsidRPr="00383D36">
        <w:rPr>
          <w:i/>
          <w:iCs/>
          <w:color w:val="000000"/>
        </w:rPr>
        <w:t>calendrier de la formation</w:t>
      </w:r>
    </w:p>
    <w:p w14:paraId="62236A1C" w14:textId="77777777" w:rsidR="00383D36" w:rsidRPr="00383D36" w:rsidRDefault="00383D36" w:rsidP="00956519">
      <w:pPr>
        <w:pStyle w:val="Style3"/>
        <w:numPr>
          <w:ilvl w:val="0"/>
          <w:numId w:val="47"/>
        </w:numPr>
        <w:rPr>
          <w:i/>
          <w:iCs/>
          <w:color w:val="000000"/>
        </w:rPr>
      </w:pPr>
      <w:r w:rsidRPr="00383D36">
        <w:rPr>
          <w:i/>
          <w:iCs/>
          <w:color w:val="000000"/>
        </w:rPr>
        <w:t>coût de la formation</w:t>
      </w:r>
    </w:p>
    <w:p w14:paraId="03AA94E9" w14:textId="77777777" w:rsidR="00383D36" w:rsidRPr="00383D36" w:rsidRDefault="00383D36" w:rsidP="00956519">
      <w:pPr>
        <w:pStyle w:val="Style3"/>
        <w:numPr>
          <w:ilvl w:val="0"/>
          <w:numId w:val="47"/>
        </w:numPr>
        <w:rPr>
          <w:i/>
          <w:iCs/>
          <w:color w:val="000000"/>
        </w:rPr>
      </w:pPr>
      <w:r w:rsidRPr="00383D36">
        <w:rPr>
          <w:i/>
          <w:iCs/>
          <w:color w:val="000000"/>
        </w:rPr>
        <w:t>…</w:t>
      </w:r>
    </w:p>
    <w:p w14:paraId="421F4EDD" w14:textId="77777777" w:rsidR="00383D36" w:rsidRPr="00383D36" w:rsidRDefault="00383D36" w:rsidP="00383D36">
      <w:pPr>
        <w:pStyle w:val="Style3"/>
        <w:rPr>
          <w:iCs/>
          <w:color w:val="000000"/>
        </w:rPr>
      </w:pPr>
    </w:p>
    <w:p w14:paraId="4621522C" w14:textId="77777777" w:rsidR="00383D36" w:rsidRPr="00956519" w:rsidRDefault="00383D36" w:rsidP="00956519">
      <w:pPr>
        <w:pStyle w:val="Style3"/>
        <w:numPr>
          <w:ilvl w:val="0"/>
          <w:numId w:val="48"/>
        </w:numPr>
        <w:rPr>
          <w:b/>
          <w:iCs/>
          <w:color w:val="000000"/>
        </w:rPr>
      </w:pPr>
      <w:r w:rsidRPr="00956519">
        <w:rPr>
          <w:b/>
          <w:iCs/>
          <w:color w:val="000000"/>
        </w:rPr>
        <w:t>Réponse aux demandes</w:t>
      </w:r>
    </w:p>
    <w:p w14:paraId="075A2C51" w14:textId="77777777" w:rsidR="00383D36" w:rsidRPr="00383D36" w:rsidRDefault="00383D36" w:rsidP="00383D36">
      <w:pPr>
        <w:pStyle w:val="Style3"/>
        <w:rPr>
          <w:iCs/>
          <w:color w:val="000000"/>
          <w:u w:val="single"/>
        </w:rPr>
      </w:pPr>
    </w:p>
    <w:p w14:paraId="2962DA19" w14:textId="77777777" w:rsidR="00383D36" w:rsidRPr="00383D36" w:rsidRDefault="00383D36" w:rsidP="00383D36">
      <w:pPr>
        <w:pStyle w:val="Style3"/>
        <w:rPr>
          <w:iCs/>
          <w:color w:val="000000"/>
        </w:rPr>
      </w:pPr>
      <w:r w:rsidRPr="00383D36">
        <w:rPr>
          <w:iCs/>
          <w:color w:val="000000"/>
        </w:rPr>
        <w:t>La décision de l’autorité territoriale sur la mobilisation du CPF sera adressée par écrit à l’agent dans un délai de 2 mois suivant le dépôt de la demande.</w:t>
      </w:r>
    </w:p>
    <w:p w14:paraId="5055AD2D" w14:textId="77777777" w:rsidR="00383D36" w:rsidRPr="00383D36" w:rsidRDefault="00383D36" w:rsidP="00383D36">
      <w:pPr>
        <w:pStyle w:val="Style3"/>
        <w:rPr>
          <w:iCs/>
          <w:color w:val="000000"/>
        </w:rPr>
      </w:pPr>
    </w:p>
    <w:p w14:paraId="01E164C1" w14:textId="77777777" w:rsidR="00383D36" w:rsidRPr="00383D36" w:rsidRDefault="00383D36" w:rsidP="00383D36">
      <w:pPr>
        <w:pStyle w:val="Style3"/>
        <w:rPr>
          <w:iCs/>
          <w:color w:val="000000"/>
        </w:rPr>
      </w:pPr>
      <w:r w:rsidRPr="00383D36">
        <w:rPr>
          <w:iCs/>
          <w:color w:val="000000"/>
        </w:rPr>
        <w:t xml:space="preserve">En cas de refus de la demande, celui-ci sera motivé. </w:t>
      </w:r>
    </w:p>
    <w:p w14:paraId="3EE2E594" w14:textId="77777777" w:rsidR="00383D36" w:rsidRPr="00383D36" w:rsidRDefault="00383D36" w:rsidP="00383D36">
      <w:pPr>
        <w:pStyle w:val="Style3"/>
        <w:rPr>
          <w:color w:val="191A1F"/>
          <w:shd w:val="clear" w:color="auto" w:fill="FFFFFF"/>
        </w:rPr>
      </w:pPr>
    </w:p>
    <w:p w14:paraId="218E31B7" w14:textId="77777777" w:rsidR="00383D36" w:rsidRPr="00383D36" w:rsidRDefault="00383D36" w:rsidP="00383D36">
      <w:pPr>
        <w:pStyle w:val="Style3"/>
        <w:rPr>
          <w:iCs/>
          <w:color w:val="000000"/>
        </w:rPr>
      </w:pPr>
      <w:r w:rsidRPr="00383D36">
        <w:rPr>
          <w:color w:val="191A1F"/>
          <w:shd w:val="clear" w:color="auto" w:fill="FFFFFF"/>
        </w:rPr>
        <w:t>Le refus peut être contesté par l’agent devant l’instance paritaire compétente (CAP ou CCP le cas échéant).</w:t>
      </w:r>
    </w:p>
    <w:p w14:paraId="671606E1" w14:textId="77777777" w:rsidR="00383D36" w:rsidRPr="00383D36" w:rsidRDefault="00383D36" w:rsidP="00383D36">
      <w:pPr>
        <w:pStyle w:val="Style3"/>
        <w:rPr>
          <w:color w:val="191A1F"/>
          <w:shd w:val="clear" w:color="auto" w:fill="FFFFFF"/>
        </w:rPr>
      </w:pPr>
    </w:p>
    <w:p w14:paraId="5312D7EE" w14:textId="77777777" w:rsidR="00383D36" w:rsidRPr="00383D36" w:rsidRDefault="00383D36" w:rsidP="00383D36">
      <w:pPr>
        <w:pStyle w:val="Style3"/>
        <w:rPr>
          <w:iCs/>
          <w:color w:val="000000"/>
        </w:rPr>
      </w:pPr>
      <w:r w:rsidRPr="00383D36">
        <w:rPr>
          <w:color w:val="191A1F"/>
          <w:shd w:val="clear" w:color="auto" w:fill="FFFFFF"/>
        </w:rPr>
        <w:t>En cas de refus de la demande de mobilisation du CPF pendant deux années successives, le rejet d’une troisième demande portant sur une action de formation de même nature ne peut être prononcé par l’autorité compétente qu’après avis de l’instance paritaire compétente (CAP ou CCP le cas échéant).</w:t>
      </w:r>
    </w:p>
    <w:p w14:paraId="14F29869" w14:textId="77777777" w:rsidR="00383D36" w:rsidRPr="00383D36" w:rsidRDefault="00383D36" w:rsidP="00383D36">
      <w:pPr>
        <w:pStyle w:val="Style3"/>
        <w:rPr>
          <w:iCs/>
          <w:color w:val="000000"/>
        </w:rPr>
      </w:pPr>
    </w:p>
    <w:p w14:paraId="39CDAA8B" w14:textId="77777777" w:rsidR="00383D36" w:rsidRPr="00383D36" w:rsidRDefault="00383D36" w:rsidP="00383D36">
      <w:pPr>
        <w:pStyle w:val="Style3"/>
        <w:rPr>
          <w:iCs/>
          <w:color w:val="000000"/>
        </w:rPr>
      </w:pPr>
    </w:p>
    <w:p w14:paraId="22146B64" w14:textId="77777777" w:rsidR="00383D36" w:rsidRPr="00383D36" w:rsidRDefault="00383D36" w:rsidP="00383D36">
      <w:pPr>
        <w:pStyle w:val="Style3"/>
        <w:rPr>
          <w:iCs/>
          <w:color w:val="000000"/>
        </w:rPr>
      </w:pPr>
      <w:r w:rsidRPr="00383D36">
        <w:rPr>
          <w:snapToGrid w:val="0"/>
        </w:rPr>
        <w:t>L’assemblée délibérante</w:t>
      </w:r>
      <w:r w:rsidRPr="00383D36">
        <w:rPr>
          <w:snapToGrid w:val="0"/>
          <w:color w:val="FF0000"/>
        </w:rPr>
        <w:t xml:space="preserve"> </w:t>
      </w:r>
      <w:r w:rsidRPr="00383D36">
        <w:rPr>
          <w:snapToGrid w:val="0"/>
        </w:rPr>
        <w:t>après avoir entendu le……………..</w:t>
      </w:r>
      <w:r w:rsidRPr="00383D36">
        <w:rPr>
          <w:i/>
          <w:snapToGrid w:val="0"/>
          <w:color w:val="548DD4"/>
        </w:rPr>
        <w:t xml:space="preserve"> </w:t>
      </w:r>
      <w:r w:rsidRPr="00383D36">
        <w:rPr>
          <w:i/>
          <w:snapToGrid w:val="0"/>
          <w:color w:val="0070C0"/>
        </w:rPr>
        <w:t>(Maire ou Président)</w:t>
      </w:r>
      <w:r w:rsidRPr="00383D36">
        <w:rPr>
          <w:i/>
          <w:color w:val="548DD4"/>
        </w:rPr>
        <w:t xml:space="preserve"> </w:t>
      </w:r>
      <w:r w:rsidRPr="00383D36">
        <w:rPr>
          <w:snapToGrid w:val="0"/>
        </w:rPr>
        <w:t xml:space="preserve">dans ses explications complémentaires, après avis du Comité social territorial </w:t>
      </w:r>
      <w:r w:rsidRPr="00383D36">
        <w:rPr>
          <w:i/>
          <w:snapToGrid w:val="0"/>
          <w:color w:val="0070C0"/>
        </w:rPr>
        <w:t>(placé auprès du Centre de Gestion)</w:t>
      </w:r>
      <w:r w:rsidRPr="00383D36">
        <w:rPr>
          <w:snapToGrid w:val="0"/>
        </w:rPr>
        <w:t xml:space="preserve"> émis dans sa séance du………..et après en avoir délibéré,</w:t>
      </w:r>
    </w:p>
    <w:p w14:paraId="0468AD74" w14:textId="77777777" w:rsidR="00383D36" w:rsidRPr="00383D36" w:rsidRDefault="00383D36" w:rsidP="00383D36">
      <w:pPr>
        <w:pStyle w:val="Style3"/>
        <w:rPr>
          <w:snapToGrid w:val="0"/>
        </w:rPr>
      </w:pPr>
    </w:p>
    <w:p w14:paraId="3ED2F19D" w14:textId="20AE4765" w:rsidR="00383D36" w:rsidRPr="00383D36" w:rsidRDefault="00383D36" w:rsidP="008601D8">
      <w:pPr>
        <w:pStyle w:val="Style3"/>
        <w:ind w:left="2124" w:hanging="1416"/>
      </w:pPr>
      <w:r w:rsidRPr="00956519">
        <w:rPr>
          <w:b/>
          <w:snapToGrid w:val="0"/>
        </w:rPr>
        <w:lastRenderedPageBreak/>
        <w:t>ADOPTE</w:t>
      </w:r>
      <w:r w:rsidR="00956519">
        <w:rPr>
          <w:snapToGrid w:val="0"/>
        </w:rPr>
        <w:tab/>
      </w:r>
      <w:r w:rsidRPr="00383D36">
        <w:rPr>
          <w:snapToGrid w:val="0"/>
        </w:rPr>
        <w:t xml:space="preserve">- les propositions du </w:t>
      </w:r>
      <w:r w:rsidRPr="00383D36">
        <w:rPr>
          <w:snapToGrid w:val="0"/>
          <w:color w:val="548DD4"/>
        </w:rPr>
        <w:t xml:space="preserve">…………….. </w:t>
      </w:r>
      <w:r w:rsidRPr="00383D36">
        <w:rPr>
          <w:i/>
          <w:snapToGrid w:val="0"/>
          <w:color w:val="0070C0"/>
        </w:rPr>
        <w:t>(Maire ou Président)</w:t>
      </w:r>
      <w:r w:rsidRPr="00383D36">
        <w:rPr>
          <w:i/>
          <w:color w:val="548DD4"/>
        </w:rPr>
        <w:t xml:space="preserve"> </w:t>
      </w:r>
      <w:r w:rsidRPr="00383D36">
        <w:rPr>
          <w:snapToGrid w:val="0"/>
        </w:rPr>
        <w:t xml:space="preserve">relatives aux </w:t>
      </w:r>
      <w:r w:rsidRPr="00383D36">
        <w:t>modalités de mise en œuvre du compte personnel de formation,</w:t>
      </w:r>
    </w:p>
    <w:p w14:paraId="3D8BEFE6" w14:textId="77777777" w:rsidR="00383D36" w:rsidRPr="00383D36" w:rsidRDefault="00383D36" w:rsidP="00956519">
      <w:pPr>
        <w:pStyle w:val="Style3"/>
        <w:ind w:left="708"/>
        <w:rPr>
          <w:snapToGrid w:val="0"/>
        </w:rPr>
      </w:pPr>
    </w:p>
    <w:p w14:paraId="5315FF2E" w14:textId="77777777" w:rsidR="00956519" w:rsidRDefault="00383D36" w:rsidP="008601D8">
      <w:pPr>
        <w:pStyle w:val="Style3"/>
        <w:ind w:left="2124" w:hanging="1416"/>
        <w:rPr>
          <w:i/>
          <w:snapToGrid w:val="0"/>
          <w:color w:val="0070C0"/>
        </w:rPr>
      </w:pPr>
      <w:r w:rsidRPr="00956519">
        <w:rPr>
          <w:b/>
          <w:snapToGrid w:val="0"/>
        </w:rPr>
        <w:t>PRÉCISE</w:t>
      </w:r>
      <w:r w:rsidR="00956519">
        <w:rPr>
          <w:snapToGrid w:val="0"/>
        </w:rPr>
        <w:tab/>
      </w:r>
      <w:r w:rsidRPr="00383D36">
        <w:rPr>
          <w:snapToGrid w:val="0"/>
        </w:rPr>
        <w:t xml:space="preserve">- que les dispositions de la présente délibération prendront effet au ……….  </w:t>
      </w:r>
      <w:r w:rsidRPr="00383D36">
        <w:rPr>
          <w:i/>
          <w:snapToGrid w:val="0"/>
          <w:color w:val="0070C0"/>
        </w:rPr>
        <w:t>(</w:t>
      </w:r>
      <w:proofErr w:type="gramStart"/>
      <w:r w:rsidRPr="00383D36">
        <w:rPr>
          <w:i/>
          <w:snapToGrid w:val="0"/>
          <w:color w:val="0070C0"/>
        </w:rPr>
        <w:t>au</w:t>
      </w:r>
      <w:proofErr w:type="gramEnd"/>
      <w:r w:rsidRPr="00383D36">
        <w:rPr>
          <w:i/>
          <w:snapToGrid w:val="0"/>
          <w:color w:val="0070C0"/>
        </w:rPr>
        <w:t xml:space="preserve"> plus tôt la date de transmission au contrôle de légalité),</w:t>
      </w:r>
    </w:p>
    <w:p w14:paraId="1877C201" w14:textId="77777777" w:rsidR="00956519" w:rsidRDefault="00956519" w:rsidP="00956519">
      <w:pPr>
        <w:pStyle w:val="Style3"/>
        <w:ind w:left="1416" w:firstLine="708"/>
        <w:rPr>
          <w:b/>
          <w:snapToGrid w:val="0"/>
        </w:rPr>
      </w:pPr>
    </w:p>
    <w:p w14:paraId="446C5673" w14:textId="0DEB5710" w:rsidR="00383D36" w:rsidRPr="00956519" w:rsidRDefault="00383D36" w:rsidP="00956519">
      <w:pPr>
        <w:pStyle w:val="Style3"/>
        <w:ind w:left="1416" w:firstLine="708"/>
        <w:rPr>
          <w:i/>
          <w:snapToGrid w:val="0"/>
          <w:color w:val="0070C0"/>
        </w:rPr>
      </w:pPr>
      <w:r w:rsidRPr="00383D36">
        <w:rPr>
          <w:snapToGrid w:val="0"/>
        </w:rPr>
        <w:t>- que les crédits suffisants sont prévus au budget de l’exercice.</w:t>
      </w:r>
    </w:p>
    <w:p w14:paraId="0B3D599D" w14:textId="77777777" w:rsidR="00383D36" w:rsidRPr="00383D36" w:rsidRDefault="00383D36" w:rsidP="00383D36">
      <w:pPr>
        <w:rPr>
          <w:rFonts w:ascii="Avenir Next LT Pro" w:hAnsi="Avenir Next LT Pro"/>
        </w:rPr>
      </w:pPr>
    </w:p>
    <w:p w14:paraId="4BA39BB9" w14:textId="77777777" w:rsidR="00383D36" w:rsidRDefault="00383D36" w:rsidP="00383D36">
      <w:pPr>
        <w:rPr>
          <w:sz w:val="20"/>
        </w:rPr>
      </w:pPr>
    </w:p>
    <w:p w14:paraId="5E99F12E" w14:textId="4E060E47" w:rsidR="00383D36" w:rsidRDefault="00383D36" w:rsidP="003E5799">
      <w:pPr>
        <w:pStyle w:val="Titre2"/>
      </w:pPr>
    </w:p>
    <w:sectPr w:rsidR="00383D36" w:rsidSect="00222203">
      <w:headerReference w:type="default" r:id="rId8"/>
      <w:pgSz w:w="11906" w:h="16838"/>
      <w:pgMar w:top="709" w:right="1418" w:bottom="992" w:left="1418" w:header="0" w:footer="272"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B68FA0" w16cex:dateUtc="2024-05-15T12:04:00Z"/>
  <w16cex:commentExtensible w16cex:durableId="23B0546C" w16cex:dateUtc="2024-05-15T12:04:00Z"/>
  <w16cex:commentExtensible w16cex:durableId="11F9C1DC" w16cex:dateUtc="2024-05-15T12:11:00Z"/>
  <w16cex:commentExtensible w16cex:durableId="47918176" w16cex:dateUtc="2024-05-15T12:11:00Z"/>
  <w16cex:commentExtensible w16cex:durableId="52698324" w16cex:dateUtc="2024-05-15T12:12:00Z"/>
  <w16cex:commentExtensible w16cex:durableId="66D5EF04" w16cex:dateUtc="2024-05-15T12:15:00Z"/>
  <w16cex:commentExtensible w16cex:durableId="5F691A00" w16cex:dateUtc="2024-05-15T12:19:00Z"/>
  <w16cex:commentExtensible w16cex:durableId="7FF71A75" w16cex:dateUtc="2024-05-15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41DB8" w16cid:durableId="2A0D9F54"/>
  <w16cid:commentId w16cid:paraId="1BDDEFBD" w16cid:durableId="2A0D9EB6"/>
  <w16cid:commentId w16cid:paraId="39FBD929" w16cid:durableId="2A0D9E8D"/>
  <w16cid:commentId w16cid:paraId="05BCD0AD" w16cid:durableId="29D4A435"/>
  <w16cid:commentId w16cid:paraId="10C05FEF" w16cid:durableId="29D4A3B3"/>
  <w16cid:commentId w16cid:paraId="3F2D140A" w16cid:durableId="7DF505EF"/>
  <w16cid:commentId w16cid:paraId="3F6690A9" w16cid:durableId="29D4A206"/>
  <w16cid:commentId w16cid:paraId="5CC872BE" w16cid:durableId="39E1A878"/>
  <w16cid:commentId w16cid:paraId="471B930D" w16cid:durableId="29D4A0EB"/>
  <w16cid:commentId w16cid:paraId="40433C8B" w16cid:durableId="2A119250"/>
  <w16cid:commentId w16cid:paraId="1BC62136" w16cid:durableId="2A0D965D"/>
  <w16cid:commentId w16cid:paraId="342380C4" w16cid:durableId="29D4A8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4BBBE" w14:textId="77777777" w:rsidR="00222203" w:rsidRDefault="00222203" w:rsidP="00056CC1">
      <w:pPr>
        <w:spacing w:after="0" w:line="240" w:lineRule="auto"/>
      </w:pPr>
      <w:r>
        <w:separator/>
      </w:r>
    </w:p>
  </w:endnote>
  <w:endnote w:type="continuationSeparator" w:id="0">
    <w:p w14:paraId="503F0532" w14:textId="77777777" w:rsidR="00222203" w:rsidRDefault="00222203" w:rsidP="000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LT Pro">
    <w:altName w:val="Arial"/>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llix Medium">
    <w:altName w:val="Calibri"/>
    <w:charset w:val="00"/>
    <w:family w:val="auto"/>
    <w:pitch w:val="variable"/>
    <w:sig w:usb0="00000007" w:usb1="00000000" w:usb2="00000000" w:usb3="00000000" w:csb0="00000093" w:csb1="00000000"/>
  </w:font>
  <w:font w:name="Gellix">
    <w:altName w:val="Calibri"/>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EE2FF" w14:textId="77777777" w:rsidR="00222203" w:rsidRDefault="00222203" w:rsidP="00056CC1">
      <w:pPr>
        <w:spacing w:after="0" w:line="240" w:lineRule="auto"/>
      </w:pPr>
      <w:r>
        <w:separator/>
      </w:r>
    </w:p>
  </w:footnote>
  <w:footnote w:type="continuationSeparator" w:id="0">
    <w:p w14:paraId="4E929D3A" w14:textId="77777777" w:rsidR="00222203" w:rsidRDefault="00222203" w:rsidP="00056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31B2E" w14:textId="234ECF62" w:rsidR="00222203" w:rsidRDefault="002222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C0D"/>
    <w:multiLevelType w:val="hybridMultilevel"/>
    <w:tmpl w:val="08144888"/>
    <w:lvl w:ilvl="0" w:tplc="48A66E46">
      <w:numFmt w:val="bullet"/>
      <w:lvlText w:val="-"/>
      <w:lvlJc w:val="left"/>
      <w:pPr>
        <w:ind w:left="720" w:hanging="360"/>
      </w:pPr>
      <w:rPr>
        <w:rFonts w:ascii="Avenir Next LT Pro" w:eastAsiaTheme="minorHAnsi" w:hAnsi="Avenir Next LT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12463"/>
    <w:multiLevelType w:val="hybridMultilevel"/>
    <w:tmpl w:val="6B121112"/>
    <w:lvl w:ilvl="0" w:tplc="662AD60A">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E42B31"/>
    <w:multiLevelType w:val="hybridMultilevel"/>
    <w:tmpl w:val="3FB6B95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07119"/>
    <w:multiLevelType w:val="hybridMultilevel"/>
    <w:tmpl w:val="4A783362"/>
    <w:lvl w:ilvl="0" w:tplc="B386B48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3282A"/>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1945EB"/>
    <w:multiLevelType w:val="hybridMultilevel"/>
    <w:tmpl w:val="FCD4F20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5D3ECD"/>
    <w:multiLevelType w:val="hybridMultilevel"/>
    <w:tmpl w:val="1A3CF01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AC250D"/>
    <w:multiLevelType w:val="hybridMultilevel"/>
    <w:tmpl w:val="4F54C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495F8A"/>
    <w:multiLevelType w:val="hybridMultilevel"/>
    <w:tmpl w:val="E97A7C8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6903BB"/>
    <w:multiLevelType w:val="hybridMultilevel"/>
    <w:tmpl w:val="93BABAEE"/>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2E062D"/>
    <w:multiLevelType w:val="hybridMultilevel"/>
    <w:tmpl w:val="4176A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847D49"/>
    <w:multiLevelType w:val="hybridMultilevel"/>
    <w:tmpl w:val="0DCA5F62"/>
    <w:lvl w:ilvl="0" w:tplc="C8FE4EC4">
      <w:start w:val="1"/>
      <w:numFmt w:val="upperRoman"/>
      <w:pStyle w:val="PartieI"/>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6275AA0"/>
    <w:multiLevelType w:val="hybridMultilevel"/>
    <w:tmpl w:val="10D898A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45B2A"/>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1143C"/>
    <w:multiLevelType w:val="hybridMultilevel"/>
    <w:tmpl w:val="F0825C6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DE6509"/>
    <w:multiLevelType w:val="hybridMultilevel"/>
    <w:tmpl w:val="A0E8672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9D315F"/>
    <w:multiLevelType w:val="hybridMultilevel"/>
    <w:tmpl w:val="8B6EA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7476E"/>
    <w:multiLevelType w:val="hybridMultilevel"/>
    <w:tmpl w:val="12C0D17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4F7EC6"/>
    <w:multiLevelType w:val="hybridMultilevel"/>
    <w:tmpl w:val="A0AC5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484D3C"/>
    <w:multiLevelType w:val="hybridMultilevel"/>
    <w:tmpl w:val="74462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B36281"/>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1342B5"/>
    <w:multiLevelType w:val="hybridMultilevel"/>
    <w:tmpl w:val="B094AD6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C45532"/>
    <w:multiLevelType w:val="hybridMultilevel"/>
    <w:tmpl w:val="2D464FF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7B3023"/>
    <w:multiLevelType w:val="hybridMultilevel"/>
    <w:tmpl w:val="D158DB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B840A2"/>
    <w:multiLevelType w:val="hybridMultilevel"/>
    <w:tmpl w:val="9E665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357C13"/>
    <w:multiLevelType w:val="hybridMultilevel"/>
    <w:tmpl w:val="4EA464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783324"/>
    <w:multiLevelType w:val="hybridMultilevel"/>
    <w:tmpl w:val="EB524AA4"/>
    <w:lvl w:ilvl="0" w:tplc="DD906E9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294239"/>
    <w:multiLevelType w:val="hybridMultilevel"/>
    <w:tmpl w:val="38A2F958"/>
    <w:lvl w:ilvl="0" w:tplc="715AFCDA">
      <w:start w:val="1"/>
      <w:numFmt w:val="bullet"/>
      <w:pStyle w:val="Style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2C68C2"/>
    <w:multiLevelType w:val="hybridMultilevel"/>
    <w:tmpl w:val="61BE54E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B51C53"/>
    <w:multiLevelType w:val="hybridMultilevel"/>
    <w:tmpl w:val="C706B4D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510309"/>
    <w:multiLevelType w:val="hybridMultilevel"/>
    <w:tmpl w:val="25F6994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66070E"/>
    <w:multiLevelType w:val="hybridMultilevel"/>
    <w:tmpl w:val="A3AC6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636965"/>
    <w:multiLevelType w:val="hybridMultilevel"/>
    <w:tmpl w:val="4FE8D5C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16040D"/>
    <w:multiLevelType w:val="hybridMultilevel"/>
    <w:tmpl w:val="8BF8282E"/>
    <w:lvl w:ilvl="0" w:tplc="DA408506">
      <w:start w:val="1"/>
      <w:numFmt w:val="bullet"/>
      <w:pStyle w:val="Styl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D33445"/>
    <w:multiLevelType w:val="hybridMultilevel"/>
    <w:tmpl w:val="E99204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7C7436"/>
    <w:multiLevelType w:val="hybridMultilevel"/>
    <w:tmpl w:val="9E665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0C1AD7"/>
    <w:multiLevelType w:val="hybridMultilevel"/>
    <w:tmpl w:val="C28AD71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5C2C51"/>
    <w:multiLevelType w:val="hybridMultilevel"/>
    <w:tmpl w:val="9F78673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1F6D72"/>
    <w:multiLevelType w:val="hybridMultilevel"/>
    <w:tmpl w:val="0288819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A16427"/>
    <w:multiLevelType w:val="hybridMultilevel"/>
    <w:tmpl w:val="442247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137F18"/>
    <w:multiLevelType w:val="hybridMultilevel"/>
    <w:tmpl w:val="0F3E008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F55227"/>
    <w:multiLevelType w:val="hybridMultilevel"/>
    <w:tmpl w:val="EFAC421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A969EF"/>
    <w:multiLevelType w:val="hybridMultilevel"/>
    <w:tmpl w:val="6B121112"/>
    <w:lvl w:ilvl="0" w:tplc="662AD60A">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577499"/>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350833"/>
    <w:multiLevelType w:val="hybridMultilevel"/>
    <w:tmpl w:val="4EA6C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362B13"/>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877A00"/>
    <w:multiLevelType w:val="hybridMultilevel"/>
    <w:tmpl w:val="BC1CF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7D1DBB"/>
    <w:multiLevelType w:val="hybridMultilevel"/>
    <w:tmpl w:val="EF4600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C9525BC"/>
    <w:multiLevelType w:val="hybridMultilevel"/>
    <w:tmpl w:val="442247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26"/>
  </w:num>
  <w:num w:numId="3">
    <w:abstractNumId w:val="39"/>
  </w:num>
  <w:num w:numId="4">
    <w:abstractNumId w:val="11"/>
  </w:num>
  <w:num w:numId="5">
    <w:abstractNumId w:val="24"/>
  </w:num>
  <w:num w:numId="6">
    <w:abstractNumId w:val="25"/>
  </w:num>
  <w:num w:numId="7">
    <w:abstractNumId w:val="47"/>
  </w:num>
  <w:num w:numId="8">
    <w:abstractNumId w:val="42"/>
  </w:num>
  <w:num w:numId="9">
    <w:abstractNumId w:val="33"/>
  </w:num>
  <w:num w:numId="10">
    <w:abstractNumId w:val="0"/>
  </w:num>
  <w:num w:numId="11">
    <w:abstractNumId w:val="20"/>
  </w:num>
  <w:num w:numId="12">
    <w:abstractNumId w:val="4"/>
  </w:num>
  <w:num w:numId="13">
    <w:abstractNumId w:val="35"/>
  </w:num>
  <w:num w:numId="14">
    <w:abstractNumId w:val="45"/>
  </w:num>
  <w:num w:numId="15">
    <w:abstractNumId w:val="10"/>
  </w:num>
  <w:num w:numId="16">
    <w:abstractNumId w:val="43"/>
  </w:num>
  <w:num w:numId="17">
    <w:abstractNumId w:val="41"/>
  </w:num>
  <w:num w:numId="18">
    <w:abstractNumId w:val="12"/>
  </w:num>
  <w:num w:numId="19">
    <w:abstractNumId w:val="32"/>
  </w:num>
  <w:num w:numId="20">
    <w:abstractNumId w:val="13"/>
  </w:num>
  <w:num w:numId="21">
    <w:abstractNumId w:val="17"/>
  </w:num>
  <w:num w:numId="22">
    <w:abstractNumId w:val="40"/>
  </w:num>
  <w:num w:numId="23">
    <w:abstractNumId w:val="6"/>
  </w:num>
  <w:num w:numId="24">
    <w:abstractNumId w:val="9"/>
  </w:num>
  <w:num w:numId="25">
    <w:abstractNumId w:val="22"/>
  </w:num>
  <w:num w:numId="26">
    <w:abstractNumId w:val="21"/>
  </w:num>
  <w:num w:numId="27">
    <w:abstractNumId w:val="30"/>
  </w:num>
  <w:num w:numId="28">
    <w:abstractNumId w:val="2"/>
  </w:num>
  <w:num w:numId="29">
    <w:abstractNumId w:val="16"/>
  </w:num>
  <w:num w:numId="30">
    <w:abstractNumId w:val="7"/>
  </w:num>
  <w:num w:numId="31">
    <w:abstractNumId w:val="48"/>
  </w:num>
  <w:num w:numId="32">
    <w:abstractNumId w:val="3"/>
  </w:num>
  <w:num w:numId="33">
    <w:abstractNumId w:val="1"/>
  </w:num>
  <w:num w:numId="34">
    <w:abstractNumId w:val="29"/>
  </w:num>
  <w:num w:numId="35">
    <w:abstractNumId w:val="8"/>
  </w:num>
  <w:num w:numId="36">
    <w:abstractNumId w:val="28"/>
  </w:num>
  <w:num w:numId="37">
    <w:abstractNumId w:val="36"/>
  </w:num>
  <w:num w:numId="38">
    <w:abstractNumId w:val="44"/>
  </w:num>
  <w:num w:numId="39">
    <w:abstractNumId w:val="37"/>
  </w:num>
  <w:num w:numId="40">
    <w:abstractNumId w:val="15"/>
  </w:num>
  <w:num w:numId="41">
    <w:abstractNumId w:val="34"/>
  </w:num>
  <w:num w:numId="42">
    <w:abstractNumId w:val="38"/>
  </w:num>
  <w:num w:numId="43">
    <w:abstractNumId w:val="14"/>
  </w:num>
  <w:num w:numId="44">
    <w:abstractNumId w:val="18"/>
  </w:num>
  <w:num w:numId="45">
    <w:abstractNumId w:val="46"/>
  </w:num>
  <w:num w:numId="46">
    <w:abstractNumId w:val="23"/>
  </w:num>
  <w:num w:numId="47">
    <w:abstractNumId w:val="5"/>
  </w:num>
  <w:num w:numId="48">
    <w:abstractNumId w:val="31"/>
  </w:num>
  <w:num w:numId="4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C1"/>
    <w:rsid w:val="000033AA"/>
    <w:rsid w:val="00056CC1"/>
    <w:rsid w:val="000618B9"/>
    <w:rsid w:val="0007480B"/>
    <w:rsid w:val="000A1D43"/>
    <w:rsid w:val="000E64E0"/>
    <w:rsid w:val="000F48D4"/>
    <w:rsid w:val="00104585"/>
    <w:rsid w:val="00114364"/>
    <w:rsid w:val="001207FA"/>
    <w:rsid w:val="00142162"/>
    <w:rsid w:val="0015659D"/>
    <w:rsid w:val="00184E15"/>
    <w:rsid w:val="0019690B"/>
    <w:rsid w:val="001A0AD7"/>
    <w:rsid w:val="001D2BE5"/>
    <w:rsid w:val="001E2498"/>
    <w:rsid w:val="00200051"/>
    <w:rsid w:val="00204300"/>
    <w:rsid w:val="002206D7"/>
    <w:rsid w:val="00222203"/>
    <w:rsid w:val="00223B39"/>
    <w:rsid w:val="00226798"/>
    <w:rsid w:val="00244BEE"/>
    <w:rsid w:val="00245012"/>
    <w:rsid w:val="002719A4"/>
    <w:rsid w:val="002C7E3F"/>
    <w:rsid w:val="00302838"/>
    <w:rsid w:val="00313D47"/>
    <w:rsid w:val="0034358B"/>
    <w:rsid w:val="003745FC"/>
    <w:rsid w:val="00383D36"/>
    <w:rsid w:val="00396714"/>
    <w:rsid w:val="003A674F"/>
    <w:rsid w:val="003B6F93"/>
    <w:rsid w:val="003E5799"/>
    <w:rsid w:val="0042276E"/>
    <w:rsid w:val="004766D2"/>
    <w:rsid w:val="004A7D0F"/>
    <w:rsid w:val="004B0451"/>
    <w:rsid w:val="004B41F1"/>
    <w:rsid w:val="00532D31"/>
    <w:rsid w:val="005A303A"/>
    <w:rsid w:val="005E1A5D"/>
    <w:rsid w:val="005E3E94"/>
    <w:rsid w:val="00610221"/>
    <w:rsid w:val="0061273F"/>
    <w:rsid w:val="00645B34"/>
    <w:rsid w:val="00673D4D"/>
    <w:rsid w:val="00676A99"/>
    <w:rsid w:val="00686AB6"/>
    <w:rsid w:val="006C68E6"/>
    <w:rsid w:val="00700CDF"/>
    <w:rsid w:val="0072539F"/>
    <w:rsid w:val="00752FB6"/>
    <w:rsid w:val="00757919"/>
    <w:rsid w:val="007A6A9A"/>
    <w:rsid w:val="007B5F9D"/>
    <w:rsid w:val="00822B4B"/>
    <w:rsid w:val="0083728A"/>
    <w:rsid w:val="008601D8"/>
    <w:rsid w:val="008A5341"/>
    <w:rsid w:val="008B6F04"/>
    <w:rsid w:val="008C1B13"/>
    <w:rsid w:val="008D5ED6"/>
    <w:rsid w:val="008E02AA"/>
    <w:rsid w:val="00956519"/>
    <w:rsid w:val="009707B5"/>
    <w:rsid w:val="009778E7"/>
    <w:rsid w:val="009D4733"/>
    <w:rsid w:val="00A073BD"/>
    <w:rsid w:val="00A42BC8"/>
    <w:rsid w:val="00A66EF4"/>
    <w:rsid w:val="00AF6ED4"/>
    <w:rsid w:val="00B33B57"/>
    <w:rsid w:val="00B3762B"/>
    <w:rsid w:val="00B40E20"/>
    <w:rsid w:val="00B56D6E"/>
    <w:rsid w:val="00B74FAE"/>
    <w:rsid w:val="00B80825"/>
    <w:rsid w:val="00BA7C46"/>
    <w:rsid w:val="00BB06F0"/>
    <w:rsid w:val="00BB601A"/>
    <w:rsid w:val="00BB750A"/>
    <w:rsid w:val="00C11692"/>
    <w:rsid w:val="00C414C2"/>
    <w:rsid w:val="00C940FD"/>
    <w:rsid w:val="00CC6759"/>
    <w:rsid w:val="00CF2AD7"/>
    <w:rsid w:val="00D15A2B"/>
    <w:rsid w:val="00D176EE"/>
    <w:rsid w:val="00D41F96"/>
    <w:rsid w:val="00D440DB"/>
    <w:rsid w:val="00D75CDA"/>
    <w:rsid w:val="00D76F44"/>
    <w:rsid w:val="00D91DD6"/>
    <w:rsid w:val="00D94879"/>
    <w:rsid w:val="00E1264B"/>
    <w:rsid w:val="00E273F3"/>
    <w:rsid w:val="00E66E3E"/>
    <w:rsid w:val="00E76BFE"/>
    <w:rsid w:val="00EA3F22"/>
    <w:rsid w:val="00EB661B"/>
    <w:rsid w:val="00EC1BB5"/>
    <w:rsid w:val="00EC4C5A"/>
    <w:rsid w:val="00ED6FF3"/>
    <w:rsid w:val="00EE0EB6"/>
    <w:rsid w:val="00EE3B6F"/>
    <w:rsid w:val="00F143B4"/>
    <w:rsid w:val="00F20B1C"/>
    <w:rsid w:val="00F26355"/>
    <w:rsid w:val="00F47859"/>
    <w:rsid w:val="00F707F3"/>
    <w:rsid w:val="00FC1A55"/>
    <w:rsid w:val="00FE5522"/>
    <w:rsid w:val="00FF2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3270"/>
  <w15:chartTrackingRefBased/>
  <w15:docId w15:val="{A480B0D2-367E-498B-AFF7-BE049724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Partie"/>
    <w:basedOn w:val="Normal"/>
    <w:next w:val="Normal"/>
    <w:link w:val="Titre1Car"/>
    <w:uiPriority w:val="9"/>
    <w:qFormat/>
    <w:rsid w:val="00056CC1"/>
    <w:pPr>
      <w:keepNext/>
      <w:keepLines/>
      <w:spacing w:before="240" w:after="0"/>
      <w:outlineLvl w:val="0"/>
    </w:pPr>
    <w:rPr>
      <w:rFonts w:ascii="Gellix Medium" w:eastAsiaTheme="majorEastAsia" w:hAnsi="Gellix Medium" w:cstheme="majorBidi"/>
      <w:color w:val="B52D51"/>
      <w:sz w:val="32"/>
      <w:szCs w:val="32"/>
    </w:rPr>
  </w:style>
  <w:style w:type="paragraph" w:styleId="Titre2">
    <w:name w:val="heading 2"/>
    <w:aliases w:val="sous-partie"/>
    <w:basedOn w:val="Normal"/>
    <w:next w:val="Normal"/>
    <w:link w:val="Titre2Car"/>
    <w:uiPriority w:val="9"/>
    <w:unhideWhenUsed/>
    <w:qFormat/>
    <w:rsid w:val="00056CC1"/>
    <w:pPr>
      <w:keepNext/>
      <w:keepLines/>
      <w:spacing w:before="40" w:after="0"/>
      <w:outlineLvl w:val="1"/>
    </w:pPr>
    <w:rPr>
      <w:rFonts w:ascii="Gellix Medium" w:eastAsiaTheme="majorEastAsia" w:hAnsi="Gellix Medium" w:cstheme="majorBidi"/>
      <w:color w:val="203242"/>
      <w:sz w:val="28"/>
      <w:szCs w:val="26"/>
    </w:rPr>
  </w:style>
  <w:style w:type="paragraph" w:styleId="Titre3">
    <w:name w:val="heading 3"/>
    <w:aliases w:val="Paragraphe"/>
    <w:basedOn w:val="Normal"/>
    <w:next w:val="Normal"/>
    <w:link w:val="Titre3Car"/>
    <w:uiPriority w:val="9"/>
    <w:unhideWhenUsed/>
    <w:qFormat/>
    <w:rsid w:val="00056CC1"/>
    <w:pPr>
      <w:keepNext/>
      <w:keepLines/>
      <w:spacing w:before="40" w:after="0"/>
      <w:outlineLvl w:val="2"/>
    </w:pPr>
    <w:rPr>
      <w:rFonts w:ascii="Gellix Medium" w:eastAsiaTheme="majorEastAsia" w:hAnsi="Gellix Medium" w:cstheme="majorBidi"/>
      <w:color w:val="9BAAB9"/>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56CC1"/>
    <w:pPr>
      <w:tabs>
        <w:tab w:val="center" w:pos="4536"/>
        <w:tab w:val="right" w:pos="9072"/>
      </w:tabs>
      <w:spacing w:after="0" w:line="240" w:lineRule="auto"/>
    </w:pPr>
  </w:style>
  <w:style w:type="character" w:customStyle="1" w:styleId="En-tteCar">
    <w:name w:val="En-tête Car"/>
    <w:basedOn w:val="Policepardfaut"/>
    <w:link w:val="En-tte"/>
    <w:uiPriority w:val="99"/>
    <w:rsid w:val="00056CC1"/>
  </w:style>
  <w:style w:type="paragraph" w:styleId="Pieddepage">
    <w:name w:val="footer"/>
    <w:basedOn w:val="Normal"/>
    <w:link w:val="PieddepageCar"/>
    <w:uiPriority w:val="99"/>
    <w:unhideWhenUsed/>
    <w:rsid w:val="00056C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CC1"/>
  </w:style>
  <w:style w:type="paragraph" w:customStyle="1" w:styleId="titreNacoop">
    <w:name w:val="titre Nacoopé"/>
    <w:basedOn w:val="Normal"/>
    <w:link w:val="titreNacoopCar"/>
    <w:qFormat/>
    <w:rsid w:val="00056CC1"/>
    <w:pPr>
      <w:jc w:val="center"/>
    </w:pPr>
    <w:rPr>
      <w:rFonts w:ascii="Gellix" w:hAnsi="Gellix" w:cs="Arial"/>
      <w:color w:val="B52D51"/>
      <w:sz w:val="48"/>
      <w:szCs w:val="48"/>
    </w:rPr>
  </w:style>
  <w:style w:type="character" w:customStyle="1" w:styleId="titreNacoopCar">
    <w:name w:val="titre Nacoopé Car"/>
    <w:basedOn w:val="Policepardfaut"/>
    <w:link w:val="titreNacoop"/>
    <w:rsid w:val="00056CC1"/>
    <w:rPr>
      <w:rFonts w:ascii="Gellix" w:hAnsi="Gellix" w:cs="Arial"/>
      <w:color w:val="B52D51"/>
      <w:sz w:val="48"/>
      <w:szCs w:val="48"/>
    </w:rPr>
  </w:style>
  <w:style w:type="paragraph" w:customStyle="1" w:styleId="texteNacoop">
    <w:name w:val="texte Nacoopé"/>
    <w:basedOn w:val="Normal"/>
    <w:link w:val="texteNacoopCar"/>
    <w:qFormat/>
    <w:rsid w:val="003A674F"/>
    <w:pPr>
      <w:spacing w:after="0" w:line="240" w:lineRule="auto"/>
      <w:jc w:val="both"/>
    </w:pPr>
    <w:rPr>
      <w:rFonts w:ascii="Avenir Next LT Pro" w:hAnsi="Avenir Next LT Pro" w:cs="Arial"/>
      <w:color w:val="203242"/>
    </w:rPr>
  </w:style>
  <w:style w:type="character" w:customStyle="1" w:styleId="texteNacoopCar">
    <w:name w:val="texte Nacoopé Car"/>
    <w:basedOn w:val="Policepardfaut"/>
    <w:link w:val="texteNacoop"/>
    <w:rsid w:val="003A674F"/>
    <w:rPr>
      <w:rFonts w:ascii="Avenir Next LT Pro" w:hAnsi="Avenir Next LT Pro" w:cs="Arial"/>
      <w:color w:val="203242"/>
    </w:rPr>
  </w:style>
  <w:style w:type="character" w:styleId="Lienhypertexte">
    <w:name w:val="Hyperlink"/>
    <w:basedOn w:val="Policepardfaut"/>
    <w:uiPriority w:val="99"/>
    <w:unhideWhenUsed/>
    <w:rsid w:val="00056CC1"/>
    <w:rPr>
      <w:color w:val="0563C1" w:themeColor="hyperlink"/>
      <w:u w:val="single"/>
    </w:rPr>
  </w:style>
  <w:style w:type="character" w:customStyle="1" w:styleId="Titre1Car">
    <w:name w:val="Titre 1 Car"/>
    <w:aliases w:val="Partie Car"/>
    <w:basedOn w:val="Policepardfaut"/>
    <w:link w:val="Titre1"/>
    <w:uiPriority w:val="9"/>
    <w:rsid w:val="00056CC1"/>
    <w:rPr>
      <w:rFonts w:ascii="Gellix Medium" w:eastAsiaTheme="majorEastAsia" w:hAnsi="Gellix Medium" w:cstheme="majorBidi"/>
      <w:color w:val="B52D51"/>
      <w:sz w:val="32"/>
      <w:szCs w:val="32"/>
    </w:rPr>
  </w:style>
  <w:style w:type="paragraph" w:styleId="En-ttedetabledesmatires">
    <w:name w:val="TOC Heading"/>
    <w:basedOn w:val="Titre1"/>
    <w:next w:val="Normal"/>
    <w:uiPriority w:val="39"/>
    <w:unhideWhenUsed/>
    <w:qFormat/>
    <w:rsid w:val="00056CC1"/>
    <w:pPr>
      <w:jc w:val="both"/>
      <w:outlineLvl w:val="9"/>
    </w:pPr>
    <w:rPr>
      <w:rFonts w:asciiTheme="minorHAnsi" w:hAnsiTheme="minorHAnsi"/>
      <w:b/>
      <w:u w:val="single"/>
      <w:lang w:eastAsia="fr-FR"/>
    </w:rPr>
  </w:style>
  <w:style w:type="paragraph" w:styleId="TM2">
    <w:name w:val="toc 2"/>
    <w:basedOn w:val="Normal"/>
    <w:next w:val="Normal"/>
    <w:autoRedefine/>
    <w:uiPriority w:val="39"/>
    <w:unhideWhenUsed/>
    <w:rsid w:val="00056C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CF2AD7"/>
    <w:pPr>
      <w:tabs>
        <w:tab w:val="left" w:pos="440"/>
        <w:tab w:val="right" w:leader="dot" w:pos="9771"/>
      </w:tabs>
      <w:spacing w:after="100"/>
    </w:pPr>
    <w:rPr>
      <w:rFonts w:ascii="Gellix Medium" w:eastAsia="Arial" w:hAnsi="Gellix Medium" w:cs="Times New Roman"/>
      <w:b/>
      <w:bCs/>
      <w:noProof/>
      <w:color w:val="B52D51"/>
      <w:sz w:val="24"/>
      <w:szCs w:val="24"/>
      <w:lang w:eastAsia="fr-FR"/>
    </w:rPr>
  </w:style>
  <w:style w:type="paragraph" w:styleId="TM3">
    <w:name w:val="toc 3"/>
    <w:basedOn w:val="Normal"/>
    <w:next w:val="Normal"/>
    <w:autoRedefine/>
    <w:uiPriority w:val="39"/>
    <w:unhideWhenUsed/>
    <w:rsid w:val="00CF2AD7"/>
    <w:pPr>
      <w:tabs>
        <w:tab w:val="left" w:pos="880"/>
        <w:tab w:val="right" w:leader="dot" w:pos="9062"/>
      </w:tabs>
      <w:spacing w:after="100"/>
      <w:ind w:left="440"/>
    </w:pPr>
    <w:rPr>
      <w:rFonts w:eastAsiaTheme="minorEastAsia" w:cs="Times New Roman"/>
      <w:bCs/>
      <w:noProof/>
      <w:color w:val="203242"/>
      <w:lang w:eastAsia="fr-FR"/>
    </w:rPr>
  </w:style>
  <w:style w:type="character" w:customStyle="1" w:styleId="Titre2Car">
    <w:name w:val="Titre 2 Car"/>
    <w:aliases w:val="sous-partie Car"/>
    <w:basedOn w:val="Policepardfaut"/>
    <w:link w:val="Titre2"/>
    <w:uiPriority w:val="9"/>
    <w:rsid w:val="00056CC1"/>
    <w:rPr>
      <w:rFonts w:ascii="Gellix Medium" w:eastAsiaTheme="majorEastAsia" w:hAnsi="Gellix Medium" w:cstheme="majorBidi"/>
      <w:color w:val="203242"/>
      <w:sz w:val="28"/>
      <w:szCs w:val="26"/>
    </w:rPr>
  </w:style>
  <w:style w:type="paragraph" w:styleId="Paragraphedeliste">
    <w:name w:val="List Paragraph"/>
    <w:basedOn w:val="Normal"/>
    <w:link w:val="ParagraphedelisteCar"/>
    <w:uiPriority w:val="34"/>
    <w:qFormat/>
    <w:rsid w:val="00056CC1"/>
    <w:pPr>
      <w:ind w:left="720"/>
      <w:contextualSpacing/>
    </w:pPr>
  </w:style>
  <w:style w:type="paragraph" w:styleId="Sansinterligne">
    <w:name w:val="No Spacing"/>
    <w:aliases w:val="SOUS TITRE"/>
    <w:link w:val="SansinterligneCar"/>
    <w:uiPriority w:val="1"/>
    <w:qFormat/>
    <w:rsid w:val="00056CC1"/>
    <w:pPr>
      <w:spacing w:after="0" w:line="240" w:lineRule="auto"/>
    </w:pPr>
  </w:style>
  <w:style w:type="character" w:customStyle="1" w:styleId="SansinterligneCar">
    <w:name w:val="Sans interligne Car"/>
    <w:aliases w:val="SOUS TITRE Car"/>
    <w:basedOn w:val="Policepardfaut"/>
    <w:link w:val="Sansinterligne"/>
    <w:uiPriority w:val="1"/>
    <w:qFormat/>
    <w:locked/>
    <w:rsid w:val="00056CC1"/>
  </w:style>
  <w:style w:type="character" w:customStyle="1" w:styleId="CorpsdetexteCar">
    <w:name w:val="Corps de texte Car"/>
    <w:basedOn w:val="Policepardfaut"/>
    <w:link w:val="Corpsdetexte"/>
    <w:uiPriority w:val="1"/>
    <w:qFormat/>
    <w:rsid w:val="00056CC1"/>
    <w:rPr>
      <w:rFonts w:ascii="Garamond" w:eastAsia="Garamond" w:hAnsi="Garamond" w:cs="Garamond"/>
      <w:sz w:val="24"/>
      <w:szCs w:val="24"/>
    </w:rPr>
  </w:style>
  <w:style w:type="paragraph" w:styleId="Corpsdetexte">
    <w:name w:val="Body Text"/>
    <w:basedOn w:val="Normal"/>
    <w:link w:val="CorpsdetexteCar"/>
    <w:uiPriority w:val="1"/>
    <w:qFormat/>
    <w:rsid w:val="00056CC1"/>
    <w:pPr>
      <w:widowControl w:val="0"/>
      <w:suppressAutoHyphens/>
      <w:spacing w:after="0" w:line="240" w:lineRule="auto"/>
    </w:pPr>
    <w:rPr>
      <w:rFonts w:ascii="Garamond" w:eastAsia="Garamond" w:hAnsi="Garamond" w:cs="Garamond"/>
      <w:sz w:val="24"/>
      <w:szCs w:val="24"/>
    </w:rPr>
  </w:style>
  <w:style w:type="character" w:customStyle="1" w:styleId="CorpsdetexteCar1">
    <w:name w:val="Corps de texte Car1"/>
    <w:basedOn w:val="Policepardfaut"/>
    <w:uiPriority w:val="99"/>
    <w:semiHidden/>
    <w:rsid w:val="00056CC1"/>
  </w:style>
  <w:style w:type="paragraph" w:customStyle="1" w:styleId="Style1">
    <w:name w:val="Style1"/>
    <w:basedOn w:val="Normal"/>
    <w:link w:val="Style1Car"/>
    <w:qFormat/>
    <w:rsid w:val="00056CC1"/>
    <w:pPr>
      <w:jc w:val="both"/>
    </w:pPr>
    <w:rPr>
      <w:sz w:val="24"/>
      <w:szCs w:val="24"/>
    </w:rPr>
  </w:style>
  <w:style w:type="character" w:customStyle="1" w:styleId="Style1Car">
    <w:name w:val="Style1 Car"/>
    <w:basedOn w:val="Policepardfaut"/>
    <w:link w:val="Style1"/>
    <w:rsid w:val="00056CC1"/>
    <w:rPr>
      <w:sz w:val="24"/>
      <w:szCs w:val="24"/>
    </w:rPr>
  </w:style>
  <w:style w:type="table" w:styleId="Grilledutableau">
    <w:name w:val="Table Grid"/>
    <w:basedOn w:val="TableauNormal"/>
    <w:rsid w:val="0005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Paragraphe Car"/>
    <w:basedOn w:val="Policepardfaut"/>
    <w:link w:val="Titre3"/>
    <w:uiPriority w:val="9"/>
    <w:rsid w:val="00056CC1"/>
    <w:rPr>
      <w:rFonts w:ascii="Gellix Medium" w:eastAsiaTheme="majorEastAsia" w:hAnsi="Gellix Medium" w:cstheme="majorBidi"/>
      <w:color w:val="9BAAB9"/>
      <w:sz w:val="26"/>
      <w:szCs w:val="24"/>
    </w:rPr>
  </w:style>
  <w:style w:type="paragraph" w:customStyle="1" w:styleId="PartieI">
    <w:name w:val="Partie (I"/>
    <w:aliases w:val="II,III,IV,...)"/>
    <w:basedOn w:val="Paragraphedeliste"/>
    <w:link w:val="PartieICar"/>
    <w:qFormat/>
    <w:rsid w:val="003A674F"/>
    <w:pPr>
      <w:numPr>
        <w:numId w:val="4"/>
      </w:numPr>
      <w:spacing w:after="0" w:line="276" w:lineRule="auto"/>
      <w:ind w:right="32"/>
      <w:jc w:val="both"/>
    </w:pPr>
    <w:rPr>
      <w:rFonts w:ascii="Gellix Medium" w:eastAsia="Garamond" w:hAnsi="Gellix Medium" w:cstheme="minorHAnsi"/>
      <w:color w:val="B52D51"/>
      <w:sz w:val="32"/>
      <w:szCs w:val="32"/>
    </w:rPr>
  </w:style>
  <w:style w:type="character" w:customStyle="1" w:styleId="ParagraphedelisteCar">
    <w:name w:val="Paragraphe de liste Car"/>
    <w:basedOn w:val="Policepardfaut"/>
    <w:link w:val="Paragraphedeliste"/>
    <w:uiPriority w:val="34"/>
    <w:rsid w:val="003A674F"/>
  </w:style>
  <w:style w:type="character" w:customStyle="1" w:styleId="PartieICar">
    <w:name w:val="Partie (I Car"/>
    <w:aliases w:val="II Car,III Car,IV Car,...) Car"/>
    <w:basedOn w:val="ParagraphedelisteCar"/>
    <w:link w:val="PartieI"/>
    <w:rsid w:val="003A674F"/>
    <w:rPr>
      <w:rFonts w:ascii="Gellix Medium" w:eastAsia="Garamond" w:hAnsi="Gellix Medium" w:cstheme="minorHAnsi"/>
      <w:color w:val="B52D51"/>
      <w:sz w:val="32"/>
      <w:szCs w:val="32"/>
    </w:rPr>
  </w:style>
  <w:style w:type="paragraph" w:customStyle="1" w:styleId="Style2">
    <w:name w:val="Style2"/>
    <w:basedOn w:val="texteNacoop"/>
    <w:link w:val="Style2Car"/>
    <w:qFormat/>
    <w:rsid w:val="00532D31"/>
    <w:pPr>
      <w:numPr>
        <w:numId w:val="1"/>
      </w:numPr>
    </w:pPr>
    <w:rPr>
      <w:i/>
      <w:iCs/>
    </w:rPr>
  </w:style>
  <w:style w:type="paragraph" w:customStyle="1" w:styleId="Style3">
    <w:name w:val="Style3"/>
    <w:basedOn w:val="texteNacoop"/>
    <w:link w:val="Style3Car"/>
    <w:qFormat/>
    <w:rsid w:val="00532D31"/>
  </w:style>
  <w:style w:type="character" w:customStyle="1" w:styleId="Style2Car">
    <w:name w:val="Style2 Car"/>
    <w:basedOn w:val="texteNacoopCar"/>
    <w:link w:val="Style2"/>
    <w:rsid w:val="00532D31"/>
    <w:rPr>
      <w:rFonts w:ascii="Avenir Next LT Pro" w:hAnsi="Avenir Next LT Pro" w:cs="Arial"/>
      <w:i/>
      <w:iCs/>
      <w:color w:val="203242"/>
    </w:rPr>
  </w:style>
  <w:style w:type="character" w:styleId="Lienhypertextesuivivisit">
    <w:name w:val="FollowedHyperlink"/>
    <w:basedOn w:val="Policepardfaut"/>
    <w:uiPriority w:val="99"/>
    <w:semiHidden/>
    <w:unhideWhenUsed/>
    <w:rsid w:val="00F47859"/>
    <w:rPr>
      <w:color w:val="954F72" w:themeColor="followedHyperlink"/>
      <w:u w:val="single"/>
    </w:rPr>
  </w:style>
  <w:style w:type="character" w:customStyle="1" w:styleId="Style3Car">
    <w:name w:val="Style3 Car"/>
    <w:basedOn w:val="texteNacoopCar"/>
    <w:link w:val="Style3"/>
    <w:rsid w:val="00532D31"/>
    <w:rPr>
      <w:rFonts w:ascii="Avenir Next LT Pro" w:hAnsi="Avenir Next LT Pro" w:cs="Arial"/>
      <w:color w:val="203242"/>
    </w:rPr>
  </w:style>
  <w:style w:type="paragraph" w:styleId="NormalWeb">
    <w:name w:val="Normal (Web)"/>
    <w:basedOn w:val="Normal"/>
    <w:uiPriority w:val="99"/>
    <w:unhideWhenUsed/>
    <w:qFormat/>
    <w:rsid w:val="00BB60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E1264B"/>
    <w:pPr>
      <w:widowControl w:val="0"/>
      <w:suppressAutoHyphens/>
      <w:spacing w:after="120" w:line="240" w:lineRule="auto"/>
      <w:jc w:val="both"/>
    </w:pPr>
    <w:rPr>
      <w:rFonts w:eastAsia="Times New Roman" w:cs="Arial"/>
      <w:sz w:val="24"/>
      <w:szCs w:val="24"/>
      <w:lang w:eastAsia="fr-FR"/>
    </w:rPr>
  </w:style>
  <w:style w:type="character" w:customStyle="1" w:styleId="Sautdindex">
    <w:name w:val="Saut d'index"/>
    <w:qFormat/>
    <w:rsid w:val="00E1264B"/>
  </w:style>
  <w:style w:type="character" w:styleId="Marquedecommentaire">
    <w:name w:val="annotation reference"/>
    <w:basedOn w:val="Policepardfaut"/>
    <w:uiPriority w:val="99"/>
    <w:semiHidden/>
    <w:unhideWhenUsed/>
    <w:qFormat/>
    <w:rsid w:val="005A303A"/>
    <w:rPr>
      <w:sz w:val="16"/>
      <w:szCs w:val="16"/>
    </w:rPr>
  </w:style>
  <w:style w:type="paragraph" w:styleId="Commentaire">
    <w:name w:val="annotation text"/>
    <w:basedOn w:val="Normal"/>
    <w:link w:val="CommentaireCar"/>
    <w:uiPriority w:val="99"/>
    <w:unhideWhenUsed/>
    <w:qFormat/>
    <w:rsid w:val="005A303A"/>
    <w:pPr>
      <w:spacing w:line="240" w:lineRule="auto"/>
    </w:pPr>
    <w:rPr>
      <w:sz w:val="20"/>
      <w:szCs w:val="20"/>
    </w:rPr>
  </w:style>
  <w:style w:type="character" w:customStyle="1" w:styleId="CommentaireCar">
    <w:name w:val="Commentaire Car"/>
    <w:basedOn w:val="Policepardfaut"/>
    <w:link w:val="Commentaire"/>
    <w:uiPriority w:val="99"/>
    <w:qFormat/>
    <w:rsid w:val="005A303A"/>
    <w:rPr>
      <w:sz w:val="20"/>
      <w:szCs w:val="20"/>
    </w:rPr>
  </w:style>
  <w:style w:type="paragraph" w:styleId="Objetducommentaire">
    <w:name w:val="annotation subject"/>
    <w:basedOn w:val="Commentaire"/>
    <w:next w:val="Commentaire"/>
    <w:link w:val="ObjetducommentaireCar"/>
    <w:uiPriority w:val="99"/>
    <w:semiHidden/>
    <w:unhideWhenUsed/>
    <w:rsid w:val="005A303A"/>
    <w:rPr>
      <w:b/>
      <w:bCs/>
    </w:rPr>
  </w:style>
  <w:style w:type="character" w:customStyle="1" w:styleId="ObjetducommentaireCar">
    <w:name w:val="Objet du commentaire Car"/>
    <w:basedOn w:val="CommentaireCar"/>
    <w:link w:val="Objetducommentaire"/>
    <w:uiPriority w:val="99"/>
    <w:semiHidden/>
    <w:rsid w:val="005A303A"/>
    <w:rPr>
      <w:b/>
      <w:bCs/>
      <w:sz w:val="20"/>
      <w:szCs w:val="20"/>
    </w:rPr>
  </w:style>
  <w:style w:type="paragraph" w:styleId="Textedebulles">
    <w:name w:val="Balloon Text"/>
    <w:basedOn w:val="Normal"/>
    <w:link w:val="TextedebullesCar"/>
    <w:uiPriority w:val="99"/>
    <w:semiHidden/>
    <w:unhideWhenUsed/>
    <w:rsid w:val="005A30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303A"/>
    <w:rPr>
      <w:rFonts w:ascii="Segoe UI" w:hAnsi="Segoe UI" w:cs="Segoe UI"/>
      <w:sz w:val="18"/>
      <w:szCs w:val="18"/>
    </w:rPr>
  </w:style>
  <w:style w:type="character" w:customStyle="1" w:styleId="apple-converted-space">
    <w:name w:val="apple-converted-space"/>
    <w:rsid w:val="00B3762B"/>
  </w:style>
  <w:style w:type="character" w:customStyle="1" w:styleId="ital">
    <w:name w:val="ital"/>
    <w:rsid w:val="00B3762B"/>
  </w:style>
  <w:style w:type="character" w:customStyle="1" w:styleId="srvrlnk">
    <w:name w:val="srvrlnk"/>
    <w:basedOn w:val="Policepardfaut"/>
    <w:rsid w:val="00313D47"/>
  </w:style>
  <w:style w:type="paragraph" w:customStyle="1" w:styleId="Style4">
    <w:name w:val="Style4"/>
    <w:basedOn w:val="Style3"/>
    <w:link w:val="Style4Car"/>
    <w:qFormat/>
    <w:rsid w:val="002C7E3F"/>
    <w:pPr>
      <w:numPr>
        <w:numId w:val="9"/>
      </w:numPr>
    </w:pPr>
    <w:rPr>
      <w:b/>
      <w:color w:val="B52D51"/>
      <w:u w:val="single"/>
    </w:rPr>
  </w:style>
  <w:style w:type="character" w:customStyle="1" w:styleId="Style4Car">
    <w:name w:val="Style4 Car"/>
    <w:basedOn w:val="Style3Car"/>
    <w:link w:val="Style4"/>
    <w:rsid w:val="002C7E3F"/>
    <w:rPr>
      <w:rFonts w:ascii="Avenir Next LT Pro" w:hAnsi="Avenir Next LT Pro" w:cs="Arial"/>
      <w:b/>
      <w:color w:val="B52D51"/>
      <w:u w:val="single"/>
    </w:rPr>
  </w:style>
  <w:style w:type="character" w:styleId="lev">
    <w:name w:val="Strong"/>
    <w:basedOn w:val="Policepardfaut"/>
    <w:uiPriority w:val="22"/>
    <w:qFormat/>
    <w:rsid w:val="00C940FD"/>
    <w:rPr>
      <w:b/>
      <w:bCs/>
    </w:rPr>
  </w:style>
  <w:style w:type="paragraph" w:customStyle="1" w:styleId="paragraph">
    <w:name w:val="paragraph"/>
    <w:basedOn w:val="Normal"/>
    <w:rsid w:val="00A42B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42BC8"/>
  </w:style>
  <w:style w:type="character" w:customStyle="1" w:styleId="eop">
    <w:name w:val="eop"/>
    <w:basedOn w:val="Policepardfaut"/>
    <w:rsid w:val="00A42BC8"/>
  </w:style>
  <w:style w:type="character" w:customStyle="1" w:styleId="findhit">
    <w:name w:val="findhit"/>
    <w:basedOn w:val="Policepardfaut"/>
    <w:rsid w:val="00A42BC8"/>
  </w:style>
  <w:style w:type="paragraph" w:styleId="Signature">
    <w:name w:val="Signature"/>
    <w:basedOn w:val="Normal"/>
    <w:link w:val="SignatureCar"/>
    <w:rsid w:val="00FC1A55"/>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FC1A55"/>
    <w:rPr>
      <w:rFonts w:ascii="Arial" w:eastAsia="Times New Roman" w:hAnsi="Arial" w:cs="Arial"/>
      <w:sz w:val="20"/>
      <w:szCs w:val="20"/>
      <w:lang w:eastAsia="fr-FR"/>
    </w:rPr>
  </w:style>
  <w:style w:type="paragraph" w:customStyle="1" w:styleId="VuConsidrant">
    <w:name w:val="Vu.Considérant"/>
    <w:basedOn w:val="Normal"/>
    <w:rsid w:val="00FC1A55"/>
    <w:pPr>
      <w:autoSpaceDE w:val="0"/>
      <w:autoSpaceDN w:val="0"/>
      <w:spacing w:after="140" w:line="240" w:lineRule="auto"/>
      <w:jc w:val="both"/>
    </w:pPr>
    <w:rPr>
      <w:rFonts w:ascii="Arial" w:eastAsia="Times New Roman" w:hAnsi="Arial" w:cs="Arial"/>
      <w:sz w:val="20"/>
      <w:szCs w:val="20"/>
      <w:lang w:eastAsia="fr-FR"/>
    </w:rPr>
  </w:style>
  <w:style w:type="paragraph" w:customStyle="1" w:styleId="MAGRH">
    <w:name w:val="MAG RH"/>
    <w:link w:val="MAGRHCar"/>
    <w:qFormat/>
    <w:rsid w:val="00F143B4"/>
    <w:pPr>
      <w:spacing w:after="0" w:line="240" w:lineRule="auto"/>
      <w:jc w:val="both"/>
    </w:pPr>
    <w:rPr>
      <w:rFonts w:ascii="Arial" w:eastAsiaTheme="majorEastAsia" w:hAnsi="Arial" w:cs="Arial"/>
      <w:sz w:val="20"/>
      <w:szCs w:val="18"/>
    </w:rPr>
  </w:style>
  <w:style w:type="character" w:customStyle="1" w:styleId="MAGRHCar">
    <w:name w:val="MAG RH Car"/>
    <w:basedOn w:val="Policepardfaut"/>
    <w:link w:val="MAGRH"/>
    <w:rsid w:val="00F143B4"/>
    <w:rPr>
      <w:rFonts w:ascii="Arial" w:eastAsiaTheme="majorEastAsia" w:hAnsi="Arial" w:cs="Arial"/>
      <w:sz w:val="20"/>
      <w:szCs w:val="18"/>
    </w:rPr>
  </w:style>
  <w:style w:type="character" w:customStyle="1" w:styleId="Mentionnonrsolue1">
    <w:name w:val="Mention non résolue1"/>
    <w:basedOn w:val="Policepardfaut"/>
    <w:uiPriority w:val="99"/>
    <w:semiHidden/>
    <w:unhideWhenUsed/>
    <w:rsid w:val="00104585"/>
    <w:rPr>
      <w:color w:val="605E5C"/>
      <w:shd w:val="clear" w:color="auto" w:fill="E1DFDD"/>
    </w:rPr>
  </w:style>
  <w:style w:type="character" w:customStyle="1" w:styleId="selected">
    <w:name w:val="selected"/>
    <w:basedOn w:val="Policepardfaut"/>
    <w:rsid w:val="009778E7"/>
  </w:style>
  <w:style w:type="character" w:customStyle="1" w:styleId="docdataelement">
    <w:name w:val="docdataelement"/>
    <w:basedOn w:val="Policepardfaut"/>
    <w:rsid w:val="000F48D4"/>
  </w:style>
  <w:style w:type="character" w:customStyle="1" w:styleId="fontstyle01">
    <w:name w:val="fontstyle01"/>
    <w:basedOn w:val="Policepardfaut"/>
    <w:rsid w:val="00757919"/>
    <w:rPr>
      <w:rFonts w:ascii="Calibri" w:hAnsi="Calibri" w:cs="Calibri" w:hint="default"/>
      <w:b w:val="0"/>
      <w:bCs w:val="0"/>
      <w:i w:val="0"/>
      <w:iCs w:val="0"/>
      <w:color w:val="181717"/>
      <w:sz w:val="22"/>
      <w:szCs w:val="22"/>
    </w:rPr>
  </w:style>
  <w:style w:type="character" w:customStyle="1" w:styleId="UnresolvedMention">
    <w:name w:val="Unresolved Mention"/>
    <w:basedOn w:val="Policepardfaut"/>
    <w:uiPriority w:val="99"/>
    <w:semiHidden/>
    <w:unhideWhenUsed/>
    <w:rsid w:val="00757919"/>
    <w:rPr>
      <w:color w:val="605E5C"/>
      <w:shd w:val="clear" w:color="auto" w:fill="E1DFDD"/>
    </w:rPr>
  </w:style>
  <w:style w:type="character" w:styleId="Appelnotedebasdep">
    <w:name w:val="footnote reference"/>
    <w:basedOn w:val="Policepardfaut"/>
    <w:uiPriority w:val="99"/>
    <w:semiHidden/>
    <w:unhideWhenUsed/>
    <w:rsid w:val="002719A4"/>
    <w:rPr>
      <w:vertAlign w:val="superscript"/>
    </w:rPr>
  </w:style>
  <w:style w:type="paragraph" w:styleId="Notedebasdepage">
    <w:name w:val="footnote text"/>
    <w:basedOn w:val="Normal"/>
    <w:link w:val="NotedebasdepageCar"/>
    <w:uiPriority w:val="99"/>
    <w:unhideWhenUsed/>
    <w:rsid w:val="002719A4"/>
    <w:pPr>
      <w:spacing w:after="0" w:line="240" w:lineRule="auto"/>
    </w:pPr>
    <w:rPr>
      <w:rFonts w:ascii="Arial" w:hAnsi="Arial"/>
      <w:sz w:val="20"/>
      <w:szCs w:val="20"/>
    </w:rPr>
  </w:style>
  <w:style w:type="character" w:customStyle="1" w:styleId="NotedebasdepageCar">
    <w:name w:val="Note de bas de page Car"/>
    <w:basedOn w:val="Policepardfaut"/>
    <w:link w:val="Notedebasdepage"/>
    <w:uiPriority w:val="99"/>
    <w:rsid w:val="002719A4"/>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0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205"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04" Type="http://schemas.microsoft.com/office/2018/08/relationships/commentsExtensible" Target="commentsExtensible.xml"/><Relationship Id="rId5" Type="http://schemas.openxmlformats.org/officeDocument/2006/relationships/webSettings" Target="webSettings.xml"/><Relationship Id="rId203" Type="http://schemas.microsoft.com/office/2016/09/relationships/commentsIds" Target="commentsIds.xml"/><Relationship Id="rId208"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07"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2024-06-12T22:00:00+00:00</Date_x0020_de_x0020_publication>
    <Description_x0020_site_x0020_internet xmlns="6fe09545-cdc4-43a9-9da5-abd37ca73394" xsi:nil="true"/>
    <Tag xmlns="6fe09545-cdc4-43a9-9da5-abd37ca73394">Formation</Tag>
    <lcf76f155ced4ddcb4097134ff3c332f xmlns="43d493ca-37cc-4588-abba-851b64bfc280">
      <Terms xmlns="http://schemas.microsoft.com/office/infopath/2007/PartnerControls"/>
    </lcf76f155ced4ddcb4097134ff3c332f>
    <Th_x00e8_me xmlns="43d493ca-37cc-4588-abba-851b64bfc280">Droits et Obligations</Th_x00e8_m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délibération</TermName>
          <TermId xmlns="http://schemas.microsoft.com/office/infopath/2007/PartnerControls">fbca7540-7c10-47b2-bebc-ba3935028d45</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Droits et obligations</CATEGORIE>
    <Thème_x0020_2_x0020_site_x0020_internet xmlns="6fe09545-cdc4-43a9-9da5-abd37ca73394" xsi:nil="true"/>
    <TaxCatchAll xmlns="d13cbe4f-1448-46a5-af3f-2daad8b9242e">
      <Value>11</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524D081C-72AF-4E76-88E1-C833CD8925CD}">
  <ds:schemaRefs>
    <ds:schemaRef ds:uri="http://schemas.openxmlformats.org/officeDocument/2006/bibliography"/>
  </ds:schemaRefs>
</ds:datastoreItem>
</file>

<file path=customXml/itemProps2.xml><?xml version="1.0" encoding="utf-8"?>
<ds:datastoreItem xmlns:ds="http://schemas.openxmlformats.org/officeDocument/2006/customXml" ds:itemID="{AB8377FB-A7BE-4C73-9473-A8D8146F5373}"/>
</file>

<file path=customXml/itemProps3.xml><?xml version="1.0" encoding="utf-8"?>
<ds:datastoreItem xmlns:ds="http://schemas.openxmlformats.org/officeDocument/2006/customXml" ds:itemID="{12CD2505-1C0D-4B6B-988A-5C2941B6014D}"/>
</file>

<file path=customXml/itemProps4.xml><?xml version="1.0" encoding="utf-8"?>
<ds:datastoreItem xmlns:ds="http://schemas.openxmlformats.org/officeDocument/2006/customXml" ds:itemID="{036189A2-D29C-490C-A5B3-0A604AF45C4B}"/>
</file>

<file path=customXml/itemProps5.xml><?xml version="1.0" encoding="utf-8"?>
<ds:datastoreItem xmlns:ds="http://schemas.openxmlformats.org/officeDocument/2006/customXml" ds:itemID="{67225C0F-5A75-4C91-BF37-A3D7FAEF68F4}"/>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9955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relative aux modalités de mise en oeuvre du Compte Personnel de Formation (CPF)</dc:title>
  <dc:subject/>
  <dc:creator>FOLTRAN Flavie</dc:creator>
  <cp:keywords/>
  <dc:description/>
  <cp:lastModifiedBy>Paul Florin</cp:lastModifiedBy>
  <cp:revision>2</cp:revision>
  <cp:lastPrinted>2024-06-10T13:38:00Z</cp:lastPrinted>
  <dcterms:created xsi:type="dcterms:W3CDTF">2024-06-10T13:41:00Z</dcterms:created>
  <dcterms:modified xsi:type="dcterms:W3CDTF">2024-06-10T13:41:00Z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Sous-thématique(s)">
    <vt:lpwstr>1968;#Formation|b8044cb5-a7e5-4e25-a4bd-70f6df565f50</vt:lpwstr>
  </property>
  <property fmtid="{D5CDD505-2E9C-101B-9397-08002B2CF9AE}" pid="4" name="Thématique(s)">
    <vt:lpwstr>308;#Carrière|55139a9b-d297-4e0c-bdfc-301a3303c5b2</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y fmtid="{D5CDD505-2E9C-101B-9397-08002B2CF9AE}" pid="8" name="Nature">
    <vt:lpwstr>11;#Modèle de délibération|fbca7540-7c10-47b2-bebc-ba3935028d45</vt:lpwstr>
  </property>
  <property fmtid="{D5CDD505-2E9C-101B-9397-08002B2CF9AE}" pid="9" name="MediaServiceImageTags">
    <vt:lpwstr/>
  </property>
  <property fmtid="{D5CDD505-2E9C-101B-9397-08002B2CF9AE}" pid="10" name="DMS_WebsiteTheme">
    <vt:lpwstr/>
  </property>
  <property fmtid="{D5CDD505-2E9C-101B-9397-08002B2CF9AE}" pid="11" name="DMS_TypeOfPublication">
    <vt:lpwstr/>
  </property>
  <property fmtid="{D5CDD505-2E9C-101B-9397-08002B2CF9AE}" pid="12" name="DMS_Tag">
    <vt:lpwstr/>
  </property>
</Properties>
</file>